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小标宋简体" w:hAnsi="Times New Roman" w:eastAsia="方正小标宋简体" w:cs="Times New Roman"/>
          <w:kern w:val="2"/>
          <w:sz w:val="44"/>
          <w:szCs w:val="44"/>
          <w:lang w:val="en-US" w:eastAsia="zh-CN" w:bidi="ar-SA"/>
        </w:rPr>
      </w:pPr>
      <w:bookmarkStart w:id="441" w:name="_GoBack"/>
      <w:bookmarkEnd w:id="441"/>
    </w:p>
    <w:p>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陕西省特种设备隐患排查清单</w:t>
      </w:r>
    </w:p>
    <w:p>
      <w:pPr>
        <w:pStyle w:val="9"/>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(2022版)</w:t>
      </w:r>
    </w:p>
    <w:p>
      <w:pPr>
        <w:pStyle w:val="9"/>
        <w:snapToGrid w:val="0"/>
        <w:spacing w:afterLines="50" w:line="240" w:lineRule="auto"/>
        <w:jc w:val="center"/>
        <w:rPr>
          <w:rFonts w:ascii="Times New Roman" w:hAnsi="Times New Roman" w:eastAsia="黑体" w:cs="Times New Roman"/>
          <w:b/>
          <w:color w:val="auto"/>
          <w:sz w:val="21"/>
          <w:szCs w:val="21"/>
        </w:rPr>
      </w:pPr>
    </w:p>
    <w:p>
      <w:pPr>
        <w:spacing w:line="520" w:lineRule="exac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表A.1  特种设备隐患排查治理—通用表格</w:t>
      </w:r>
    </w:p>
    <w:p>
      <w:pPr>
        <w:spacing w:line="520" w:lineRule="exac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表A.2  特种设备隐患排查清单—使用管理通用要求</w:t>
      </w:r>
    </w:p>
    <w:p>
      <w:pPr>
        <w:spacing w:line="520" w:lineRule="exac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表B.1  特种设备隐患排查清单—锅炉专项要求</w:t>
      </w:r>
    </w:p>
    <w:p>
      <w:pPr>
        <w:spacing w:line="520" w:lineRule="exac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表B.2  特种设备隐患排查清单—固定式压力容器专项要求</w:t>
      </w:r>
    </w:p>
    <w:p>
      <w:pPr>
        <w:spacing w:line="520" w:lineRule="exac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表B.3  特种设备隐患排查清单—移动式压力容器专项要求</w:t>
      </w:r>
    </w:p>
    <w:p>
      <w:pPr>
        <w:spacing w:line="520" w:lineRule="exac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表B.4  特种设备隐患排查清单—移动式压力容器(装卸)专项要求</w:t>
      </w:r>
    </w:p>
    <w:p>
      <w:pPr>
        <w:spacing w:line="520" w:lineRule="exac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表B.5  特种设备隐患排查清单—氧舱专项要求</w:t>
      </w:r>
    </w:p>
    <w:p>
      <w:pPr>
        <w:spacing w:line="520" w:lineRule="exac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表B.6  特种设备隐患排查清单—气瓶充装专项要求</w:t>
      </w:r>
    </w:p>
    <w:p>
      <w:pPr>
        <w:spacing w:line="520" w:lineRule="exac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表B.7  特种设备隐患排查清单—工业管道专项要求</w:t>
      </w:r>
    </w:p>
    <w:p>
      <w:pPr>
        <w:spacing w:line="520" w:lineRule="exac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表B.8  特种设备隐患排查清单—公用管道专项要求</w:t>
      </w:r>
    </w:p>
    <w:p>
      <w:pPr>
        <w:spacing w:line="520" w:lineRule="exac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表B.9  特种设备隐患排查清单—长输管道专项要求</w:t>
      </w:r>
    </w:p>
    <w:p>
      <w:pPr>
        <w:spacing w:line="520" w:lineRule="exac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表B.10 特种设备隐患排查清单—电梯专项要求</w:t>
      </w:r>
    </w:p>
    <w:p>
      <w:pPr>
        <w:spacing w:line="520" w:lineRule="exac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表B.11  特种设备隐患排查清单—起重机械专项要求</w:t>
      </w:r>
    </w:p>
    <w:p>
      <w:pPr>
        <w:spacing w:line="520" w:lineRule="exac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表B.12  特种设备隐患排查清单—客运索道专项要求</w:t>
      </w:r>
    </w:p>
    <w:p>
      <w:pPr>
        <w:spacing w:line="520" w:lineRule="exac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表B.13  特种设备隐患排查清单—大型游乐设施专项要求</w:t>
      </w:r>
    </w:p>
    <w:p>
      <w:pPr>
        <w:spacing w:line="520" w:lineRule="exact"/>
        <w:rPr>
          <w:rFonts w:ascii="Times New Roman" w:hAnsi="Times New Roman" w:eastAsia="楷体_GB2312" w:cs="Times New Roman"/>
          <w:color w:val="auto"/>
          <w:sz w:val="28"/>
          <w:szCs w:val="28"/>
        </w:rPr>
      </w:pPr>
      <w:r>
        <w:rPr>
          <w:rFonts w:ascii="Times New Roman" w:hAnsi="Times New Roman" w:eastAsia="楷体_GB2312" w:cs="Times New Roman"/>
          <w:color w:val="auto"/>
          <w:sz w:val="28"/>
          <w:szCs w:val="28"/>
        </w:rPr>
        <w:t>表B.14  特种设备隐患排查清单—场(厂)内专用机动车辆专项要求</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color w:val="auto"/>
          <w:sz w:val="32"/>
          <w:szCs w:val="32"/>
          <w:lang w:eastAsia="zh-CN"/>
        </w:rPr>
      </w:pPr>
      <w:r>
        <w:rPr>
          <w:rFonts w:ascii="Times New Roman" w:hAnsi="Times New Roman" w:eastAsia="楷体_GB2312" w:cs="Times New Roman"/>
          <w:color w:val="auto"/>
          <w:sz w:val="32"/>
          <w:szCs w:val="32"/>
        </w:rPr>
        <w:br w:type="page"/>
      </w:r>
      <w:r>
        <w:rPr>
          <w:rFonts w:hint="eastAsia" w:ascii="方正小标宋简体" w:hAnsi="方正小标宋简体" w:eastAsia="方正小标宋简体" w:cs="方正小标宋简体"/>
          <w:b w:val="0"/>
          <w:bCs/>
          <w:color w:val="auto"/>
          <w:sz w:val="32"/>
          <w:szCs w:val="32"/>
        </w:rPr>
        <w:t>表</w:t>
      </w:r>
      <w:r>
        <w:rPr>
          <w:rFonts w:hint="eastAsia" w:ascii="方正小标宋简体" w:hAnsi="方正小标宋简体" w:eastAsia="方正小标宋简体" w:cs="方正小标宋简体"/>
          <w:b w:val="0"/>
          <w:bCs/>
          <w:color w:val="auto"/>
          <w:sz w:val="32"/>
          <w:szCs w:val="32"/>
          <w:lang w:val="en-US" w:eastAsia="zh-CN" w:bidi="en-US"/>
        </w:rPr>
        <w:t>A.1</w:t>
      </w:r>
      <w:r>
        <w:rPr>
          <w:rFonts w:hint="eastAsia" w:ascii="方正小标宋简体" w:hAnsi="方正小标宋简体" w:eastAsia="方正小标宋简体" w:cs="方正小标宋简体"/>
          <w:b w:val="0"/>
          <w:bCs/>
          <w:color w:val="auto"/>
          <w:sz w:val="32"/>
          <w:szCs w:val="32"/>
        </w:rPr>
        <w:t>特种设备隐患排查</w:t>
      </w:r>
      <w:r>
        <w:rPr>
          <w:rFonts w:hint="eastAsia" w:ascii="方正小标宋简体" w:hAnsi="方正小标宋简体" w:eastAsia="方正小标宋简体" w:cs="方正小标宋简体"/>
          <w:b w:val="0"/>
          <w:bCs/>
          <w:color w:val="auto"/>
          <w:sz w:val="32"/>
          <w:szCs w:val="32"/>
          <w:lang w:eastAsia="zh-CN"/>
        </w:rPr>
        <w:t>治理</w:t>
      </w:r>
      <w:r>
        <w:rPr>
          <w:rFonts w:hint="eastAsia" w:ascii="方正小标宋简体" w:hAnsi="方正小标宋简体" w:eastAsia="方正小标宋简体" w:cs="方正小标宋简体"/>
          <w:b w:val="0"/>
          <w:bCs/>
          <w:color w:val="auto"/>
          <w:sz w:val="32"/>
          <w:szCs w:val="32"/>
          <w:lang w:val="en-US" w:eastAsia="zh-CN"/>
        </w:rPr>
        <w:t>-通用表格(</w:t>
      </w:r>
      <w:r>
        <w:rPr>
          <w:rFonts w:hint="eastAsia" w:ascii="方正小标宋简体" w:hAnsi="方正小标宋简体" w:eastAsia="方正小标宋简体" w:cs="方正小标宋简体"/>
          <w:b w:val="0"/>
          <w:bCs/>
          <w:color w:val="auto"/>
          <w:sz w:val="32"/>
          <w:szCs w:val="32"/>
          <w:lang w:eastAsia="zh-CN"/>
        </w:rPr>
        <w:t>记录表格式</w:t>
      </w:r>
      <w:r>
        <w:rPr>
          <w:rFonts w:hint="eastAsia" w:ascii="方正小标宋简体" w:hAnsi="方正小标宋简体" w:eastAsia="方正小标宋简体" w:cs="方正小标宋简体"/>
          <w:b w:val="0"/>
          <w:bCs/>
          <w:color w:val="auto"/>
          <w:sz w:val="32"/>
          <w:szCs w:val="32"/>
          <w:lang w:val="en-US" w:eastAsia="zh-CN"/>
        </w:rPr>
        <w:t>)</w:t>
      </w:r>
    </w:p>
    <w:p>
      <w:pPr>
        <w:pStyle w:val="9"/>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color w:val="auto"/>
          <w:sz w:val="32"/>
          <w:szCs w:val="32"/>
          <w:lang w:eastAsia="zh-CN"/>
        </w:rPr>
      </w:pPr>
      <w:r>
        <w:rPr>
          <w:rFonts w:hint="eastAsia" w:ascii="方正小标宋简体" w:hAnsi="方正小标宋简体" w:eastAsia="方正小标宋简体" w:cs="方正小标宋简体"/>
          <w:b w:val="0"/>
          <w:bCs/>
          <w:color w:val="auto"/>
          <w:sz w:val="32"/>
          <w:szCs w:val="32"/>
          <w:lang w:eastAsia="zh-CN"/>
        </w:rPr>
        <w:t>特种设备隐患排查记录表格式</w:t>
      </w:r>
    </w:p>
    <w:p>
      <w:pPr>
        <w:pStyle w:val="9"/>
        <w:snapToGrid w:val="0"/>
        <w:spacing w:line="240" w:lineRule="auto"/>
        <w:rPr>
          <w:rFonts w:ascii="Times New Roman" w:hAnsi="Times New Roman" w:cs="Times New Roman"/>
          <w:color w:val="auto"/>
          <w:sz w:val="18"/>
          <w:szCs w:val="18"/>
          <w:lang w:eastAsia="zh-CN"/>
        </w:rPr>
      </w:pPr>
    </w:p>
    <w:p>
      <w:pPr>
        <w:pStyle w:val="9"/>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文件编号：</w:t>
      </w:r>
      <w:r>
        <w:rPr>
          <w:rFonts w:ascii="Times New Roman" w:hAnsi="Times New Roman" w:cs="Times New Roman"/>
          <w:color w:val="auto"/>
          <w:sz w:val="18"/>
          <w:szCs w:val="18"/>
          <w:lang w:eastAsia="zh-CN"/>
        </w:rPr>
        <w:t xml:space="preserve">                                                                     </w:t>
      </w:r>
      <w:r>
        <w:rPr>
          <w:rFonts w:ascii="Times New Roman" w:cs="Times New Roman"/>
          <w:color w:val="auto"/>
          <w:sz w:val="18"/>
          <w:szCs w:val="18"/>
          <w:lang w:eastAsia="zh-CN"/>
        </w:rPr>
        <w:t>记录编号：</w:t>
      </w:r>
    </w:p>
    <w:p>
      <w:pPr>
        <w:pStyle w:val="9"/>
        <w:snapToGrid w:val="0"/>
        <w:spacing w:line="240" w:lineRule="auto"/>
        <w:jc w:val="right"/>
        <w:rPr>
          <w:rFonts w:ascii="Times New Roman" w:hAnsi="Times New Roman" w:cs="Times New Roman"/>
          <w:color w:val="auto"/>
          <w:sz w:val="18"/>
          <w:szCs w:val="18"/>
          <w:lang w:eastAsia="zh-CN"/>
        </w:rPr>
      </w:pPr>
      <w:r>
        <w:rPr>
          <w:rFonts w:ascii="Times New Roman" w:cs="Times New Roman"/>
          <w:color w:val="auto"/>
          <w:sz w:val="18"/>
          <w:szCs w:val="18"/>
          <w:lang w:eastAsia="zh-CN"/>
        </w:rPr>
        <w:t>第</w:t>
      </w:r>
      <w:r>
        <w:rPr>
          <w:rFonts w:ascii="Times New Roman" w:hAnsi="Times New Roman" w:cs="Times New Roman"/>
          <w:color w:val="auto"/>
          <w:sz w:val="18"/>
          <w:szCs w:val="18"/>
          <w:lang w:eastAsia="zh-CN"/>
        </w:rPr>
        <w:t xml:space="preserve">    </w:t>
      </w:r>
      <w:r>
        <w:rPr>
          <w:rFonts w:ascii="Times New Roman" w:cs="Times New Roman"/>
          <w:color w:val="auto"/>
          <w:sz w:val="18"/>
          <w:szCs w:val="18"/>
          <w:lang w:eastAsia="zh-CN"/>
        </w:rPr>
        <w:t>页</w:t>
      </w:r>
    </w:p>
    <w:p>
      <w:pPr>
        <w:pStyle w:val="9"/>
        <w:snapToGrid w:val="0"/>
        <w:spacing w:line="240" w:lineRule="auto"/>
        <w:rPr>
          <w:rFonts w:ascii="Times New Roman" w:hAnsi="Times New Roman" w:cs="Times New Roman"/>
          <w:color w:val="auto"/>
          <w:sz w:val="18"/>
          <w:szCs w:val="18"/>
          <w:vertAlign w:val="subscript"/>
        </w:rPr>
      </w:pPr>
    </w:p>
    <w:tbl>
      <w:tblPr>
        <w:tblStyle w:val="8"/>
        <w:tblW w:w="917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9"/>
        <w:gridCol w:w="138"/>
        <w:gridCol w:w="860"/>
        <w:gridCol w:w="1099"/>
        <w:gridCol w:w="973"/>
        <w:gridCol w:w="1817"/>
        <w:gridCol w:w="1334"/>
        <w:gridCol w:w="15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1" w:hRule="atLeast"/>
        </w:trPr>
        <w:tc>
          <w:tcPr>
            <w:tcW w:w="1389" w:type="dxa"/>
            <w:noWrap/>
            <w:vAlign w:val="center"/>
          </w:tcPr>
          <w:p>
            <w:pPr>
              <w:widowControl/>
              <w:snapToGrid w:val="0"/>
              <w:jc w:val="center"/>
              <w:rPr>
                <w:rFonts w:ascii="Times New Roman" w:hAnsi="Times New Roman" w:cs="Times New Roman"/>
                <w:color w:val="auto"/>
                <w:sz w:val="18"/>
                <w:szCs w:val="18"/>
              </w:rPr>
            </w:pPr>
            <w:r>
              <w:rPr>
                <w:rFonts w:ascii="Times New Roman" w:hAnsi="宋体" w:eastAsia="宋体" w:cs="Times New Roman"/>
                <w:color w:val="auto"/>
                <w:sz w:val="18"/>
                <w:szCs w:val="18"/>
              </w:rPr>
              <w:t>单位名称</w:t>
            </w:r>
          </w:p>
        </w:tc>
        <w:tc>
          <w:tcPr>
            <w:tcW w:w="3070" w:type="dxa"/>
            <w:gridSpan w:val="4"/>
            <w:noWrap/>
            <w:vAlign w:val="center"/>
          </w:tcPr>
          <w:p>
            <w:pPr>
              <w:widowControl/>
              <w:snapToGrid w:val="0"/>
              <w:jc w:val="center"/>
              <w:rPr>
                <w:rFonts w:ascii="Times New Roman" w:hAnsi="Times New Roman" w:cs="Times New Roman"/>
                <w:color w:val="auto"/>
                <w:sz w:val="18"/>
                <w:szCs w:val="18"/>
              </w:rPr>
            </w:pPr>
          </w:p>
        </w:tc>
        <w:tc>
          <w:tcPr>
            <w:tcW w:w="1817" w:type="dxa"/>
            <w:noWrap/>
            <w:vAlign w:val="center"/>
          </w:tcPr>
          <w:p>
            <w:pPr>
              <w:widowControl/>
              <w:snapToGrid w:val="0"/>
              <w:jc w:val="center"/>
              <w:rPr>
                <w:rFonts w:ascii="Times New Roman" w:hAnsi="Times New Roman" w:cs="Times New Roman"/>
                <w:color w:val="auto"/>
                <w:sz w:val="18"/>
                <w:szCs w:val="18"/>
              </w:rPr>
            </w:pPr>
            <w:r>
              <w:rPr>
                <w:rFonts w:ascii="Times New Roman" w:hAnsi="宋体" w:eastAsia="宋体" w:cs="Times New Roman"/>
                <w:color w:val="auto"/>
                <w:sz w:val="18"/>
                <w:szCs w:val="18"/>
              </w:rPr>
              <w:t>隐患排查责任人</w:t>
            </w:r>
          </w:p>
        </w:tc>
        <w:tc>
          <w:tcPr>
            <w:tcW w:w="2898" w:type="dxa"/>
            <w:gridSpan w:val="2"/>
            <w:noWrap/>
            <w:vAlign w:val="center"/>
          </w:tcPr>
          <w:p>
            <w:pPr>
              <w:widowControl/>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7" w:hRule="atLeast"/>
        </w:trPr>
        <w:tc>
          <w:tcPr>
            <w:tcW w:w="1389" w:type="dxa"/>
            <w:noWrap/>
            <w:vAlign w:val="center"/>
          </w:tcPr>
          <w:p>
            <w:pPr>
              <w:widowControl/>
              <w:snapToGrid w:val="0"/>
              <w:jc w:val="center"/>
              <w:rPr>
                <w:rFonts w:ascii="Times New Roman" w:hAnsi="Times New Roman" w:cs="Times New Roman"/>
                <w:color w:val="auto"/>
                <w:sz w:val="18"/>
                <w:szCs w:val="18"/>
              </w:rPr>
            </w:pPr>
            <w:r>
              <w:rPr>
                <w:rFonts w:ascii="Times New Roman" w:hAnsi="宋体" w:eastAsia="宋体" w:cs="Times New Roman"/>
                <w:color w:val="auto"/>
                <w:sz w:val="18"/>
                <w:szCs w:val="18"/>
              </w:rPr>
              <w:t>设备种类</w:t>
            </w:r>
          </w:p>
        </w:tc>
        <w:tc>
          <w:tcPr>
            <w:tcW w:w="3070" w:type="dxa"/>
            <w:gridSpan w:val="4"/>
            <w:noWrap/>
            <w:vAlign w:val="center"/>
          </w:tcPr>
          <w:p>
            <w:pPr>
              <w:widowControl/>
              <w:snapToGrid w:val="0"/>
              <w:jc w:val="center"/>
              <w:rPr>
                <w:rFonts w:ascii="Times New Roman" w:hAnsi="Times New Roman" w:cs="Times New Roman"/>
                <w:color w:val="auto"/>
                <w:sz w:val="18"/>
                <w:szCs w:val="18"/>
              </w:rPr>
            </w:pPr>
          </w:p>
        </w:tc>
        <w:tc>
          <w:tcPr>
            <w:tcW w:w="1817" w:type="dxa"/>
            <w:noWrap/>
            <w:vAlign w:val="center"/>
          </w:tcPr>
          <w:p>
            <w:pPr>
              <w:widowControl/>
              <w:snapToGrid w:val="0"/>
              <w:jc w:val="center"/>
              <w:rPr>
                <w:rFonts w:ascii="Times New Roman" w:hAnsi="Times New Roman" w:cs="Times New Roman"/>
                <w:color w:val="auto"/>
                <w:sz w:val="18"/>
                <w:szCs w:val="18"/>
              </w:rPr>
            </w:pPr>
            <w:r>
              <w:rPr>
                <w:rFonts w:ascii="Times New Roman" w:hAnsi="宋体" w:eastAsia="宋体" w:cs="Times New Roman"/>
                <w:color w:val="auto"/>
                <w:sz w:val="18"/>
                <w:szCs w:val="18"/>
              </w:rPr>
              <w:t>设备类别</w:t>
            </w:r>
          </w:p>
        </w:tc>
        <w:tc>
          <w:tcPr>
            <w:tcW w:w="2898" w:type="dxa"/>
            <w:gridSpan w:val="2"/>
            <w:noWrap/>
            <w:vAlign w:val="center"/>
          </w:tcPr>
          <w:p>
            <w:pPr>
              <w:widowControl/>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3" w:hRule="atLeast"/>
        </w:trPr>
        <w:tc>
          <w:tcPr>
            <w:tcW w:w="1389" w:type="dxa"/>
            <w:noWrap/>
            <w:vAlign w:val="center"/>
          </w:tcPr>
          <w:p>
            <w:pPr>
              <w:widowControl/>
              <w:snapToGrid w:val="0"/>
              <w:jc w:val="center"/>
              <w:rPr>
                <w:rFonts w:ascii="Times New Roman" w:hAnsi="Times New Roman" w:cs="Times New Roman"/>
                <w:color w:val="auto"/>
                <w:sz w:val="18"/>
                <w:szCs w:val="18"/>
              </w:rPr>
            </w:pPr>
            <w:r>
              <w:rPr>
                <w:rFonts w:ascii="Times New Roman" w:hAnsi="宋体" w:eastAsia="宋体" w:cs="Times New Roman"/>
                <w:color w:val="auto"/>
                <w:sz w:val="18"/>
                <w:szCs w:val="18"/>
              </w:rPr>
              <w:t>设备品种</w:t>
            </w:r>
          </w:p>
        </w:tc>
        <w:tc>
          <w:tcPr>
            <w:tcW w:w="3070" w:type="dxa"/>
            <w:gridSpan w:val="4"/>
            <w:noWrap/>
            <w:vAlign w:val="center"/>
          </w:tcPr>
          <w:p>
            <w:pPr>
              <w:widowControl/>
              <w:snapToGrid w:val="0"/>
              <w:jc w:val="center"/>
              <w:rPr>
                <w:rFonts w:ascii="Times New Roman" w:hAnsi="Times New Roman" w:cs="Times New Roman"/>
                <w:color w:val="auto"/>
                <w:sz w:val="18"/>
                <w:szCs w:val="18"/>
              </w:rPr>
            </w:pPr>
          </w:p>
        </w:tc>
        <w:tc>
          <w:tcPr>
            <w:tcW w:w="1817" w:type="dxa"/>
            <w:noWrap/>
            <w:vAlign w:val="center"/>
          </w:tcPr>
          <w:p>
            <w:pPr>
              <w:widowControl/>
              <w:snapToGrid w:val="0"/>
              <w:jc w:val="center"/>
              <w:rPr>
                <w:rFonts w:ascii="Times New Roman" w:hAnsi="Times New Roman" w:cs="Times New Roman"/>
                <w:color w:val="auto"/>
                <w:sz w:val="18"/>
                <w:szCs w:val="18"/>
              </w:rPr>
            </w:pPr>
            <w:r>
              <w:rPr>
                <w:rFonts w:ascii="Times New Roman" w:hAnsi="宋体" w:eastAsia="宋体" w:cs="Times New Roman"/>
                <w:color w:val="auto"/>
                <w:sz w:val="18"/>
                <w:szCs w:val="18"/>
              </w:rPr>
              <w:t>排查设备数量</w:t>
            </w:r>
          </w:p>
        </w:tc>
        <w:tc>
          <w:tcPr>
            <w:tcW w:w="2898" w:type="dxa"/>
            <w:gridSpan w:val="2"/>
            <w:noWrap/>
            <w:vAlign w:val="center"/>
          </w:tcPr>
          <w:p>
            <w:pPr>
              <w:widowControl/>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6" w:hRule="atLeast"/>
        </w:trPr>
        <w:tc>
          <w:tcPr>
            <w:tcW w:w="1389" w:type="dxa"/>
            <w:vMerge w:val="restart"/>
            <w:noWrap/>
            <w:vAlign w:val="center"/>
          </w:tcPr>
          <w:p>
            <w:pPr>
              <w:widowControl/>
              <w:snapToGrid w:val="0"/>
              <w:jc w:val="center"/>
              <w:rPr>
                <w:rFonts w:ascii="Times New Roman" w:hAnsi="Times New Roman" w:cs="Times New Roman"/>
                <w:color w:val="auto"/>
                <w:sz w:val="18"/>
                <w:szCs w:val="18"/>
              </w:rPr>
            </w:pPr>
            <w:r>
              <w:rPr>
                <w:rFonts w:ascii="Times New Roman" w:hAnsi="宋体" w:eastAsia="宋体" w:cs="Times New Roman"/>
                <w:color w:val="auto"/>
                <w:sz w:val="18"/>
                <w:szCs w:val="18"/>
              </w:rPr>
              <w:t>排查内容</w:t>
            </w:r>
          </w:p>
          <w:p>
            <w:pPr>
              <w:widowControl/>
              <w:snapToGrid w:val="0"/>
              <w:jc w:val="center"/>
              <w:rPr>
                <w:rFonts w:ascii="Times New Roman" w:hAnsi="Times New Roman" w:cs="Times New Roman"/>
                <w:color w:val="auto"/>
                <w:sz w:val="18"/>
                <w:szCs w:val="18"/>
              </w:rPr>
            </w:pPr>
            <w:r>
              <w:rPr>
                <w:rFonts w:ascii="Times New Roman" w:hAnsi="Times New Roman" w:eastAsia="宋体" w:cs="Times New Roman"/>
                <w:color w:val="auto"/>
                <w:sz w:val="18"/>
                <w:szCs w:val="18"/>
              </w:rPr>
              <w:t>(</w:t>
            </w:r>
            <w:r>
              <w:rPr>
                <w:rFonts w:ascii="Times New Roman" w:hAnsi="宋体" w:eastAsia="宋体" w:cs="Times New Roman"/>
                <w:color w:val="auto"/>
                <w:sz w:val="18"/>
                <w:szCs w:val="18"/>
              </w:rPr>
              <w:t>排查途径</w:t>
            </w:r>
            <w:r>
              <w:rPr>
                <w:rFonts w:ascii="Times New Roman" w:hAnsi="Times New Roman" w:eastAsia="宋体" w:cs="Times New Roman"/>
                <w:color w:val="auto"/>
                <w:sz w:val="18"/>
                <w:szCs w:val="18"/>
              </w:rPr>
              <w:t>)</w:t>
            </w:r>
          </w:p>
        </w:tc>
        <w:tc>
          <w:tcPr>
            <w:tcW w:w="2097" w:type="dxa"/>
            <w:gridSpan w:val="3"/>
            <w:noWrap/>
            <w:vAlign w:val="center"/>
          </w:tcPr>
          <w:p>
            <w:pPr>
              <w:widowControl/>
              <w:snapToGrid w:val="0"/>
              <w:jc w:val="center"/>
              <w:rPr>
                <w:rFonts w:ascii="Times New Roman" w:hAnsi="Times New Roman" w:cs="Times New Roman"/>
                <w:color w:val="auto"/>
                <w:sz w:val="18"/>
                <w:szCs w:val="18"/>
              </w:rPr>
            </w:pPr>
            <w:r>
              <w:rPr>
                <w:rFonts w:ascii="Times New Roman" w:hAnsi="宋体" w:eastAsia="宋体" w:cs="Times New Roman"/>
                <w:color w:val="auto"/>
                <w:sz w:val="18"/>
                <w:szCs w:val="18"/>
              </w:rPr>
              <w:t>排查依据</w:t>
            </w:r>
          </w:p>
        </w:tc>
        <w:tc>
          <w:tcPr>
            <w:tcW w:w="2790" w:type="dxa"/>
            <w:gridSpan w:val="2"/>
            <w:noWrap/>
            <w:vAlign w:val="center"/>
          </w:tcPr>
          <w:p>
            <w:pPr>
              <w:widowControl/>
              <w:snapToGrid w:val="0"/>
              <w:jc w:val="center"/>
              <w:rPr>
                <w:rFonts w:ascii="Times New Roman" w:hAnsi="Times New Roman" w:cs="Times New Roman"/>
                <w:color w:val="auto"/>
                <w:sz w:val="18"/>
                <w:szCs w:val="18"/>
              </w:rPr>
            </w:pPr>
            <w:r>
              <w:rPr>
                <w:rFonts w:ascii="Times New Roman" w:hAnsi="宋体" w:eastAsia="宋体" w:cs="Times New Roman"/>
                <w:color w:val="auto"/>
                <w:sz w:val="18"/>
                <w:szCs w:val="18"/>
              </w:rPr>
              <w:t>排查结果</w:t>
            </w:r>
          </w:p>
        </w:tc>
        <w:tc>
          <w:tcPr>
            <w:tcW w:w="1334" w:type="dxa"/>
            <w:vMerge w:val="restart"/>
            <w:noWrap/>
            <w:vAlign w:val="center"/>
          </w:tcPr>
          <w:p>
            <w:pPr>
              <w:widowControl/>
              <w:snapToGrid w:val="0"/>
              <w:jc w:val="center"/>
              <w:rPr>
                <w:rFonts w:ascii="Times New Roman" w:hAnsi="Times New Roman" w:cs="Times New Roman"/>
                <w:color w:val="auto"/>
                <w:sz w:val="18"/>
                <w:szCs w:val="18"/>
              </w:rPr>
            </w:pPr>
            <w:r>
              <w:rPr>
                <w:rFonts w:ascii="Times New Roman" w:hAnsi="宋体" w:eastAsia="宋体" w:cs="Times New Roman"/>
                <w:color w:val="auto"/>
                <w:sz w:val="18"/>
                <w:szCs w:val="18"/>
              </w:rPr>
              <w:t>排查人</w:t>
            </w:r>
          </w:p>
        </w:tc>
        <w:tc>
          <w:tcPr>
            <w:tcW w:w="1564" w:type="dxa"/>
            <w:vMerge w:val="restart"/>
            <w:noWrap/>
            <w:vAlign w:val="center"/>
          </w:tcPr>
          <w:p>
            <w:pPr>
              <w:widowControl/>
              <w:snapToGrid w:val="0"/>
              <w:jc w:val="center"/>
              <w:rPr>
                <w:rFonts w:ascii="Times New Roman" w:hAnsi="Times New Roman" w:eastAsia="宋体" w:cs="Times New Roman"/>
                <w:color w:val="auto"/>
                <w:sz w:val="18"/>
                <w:szCs w:val="18"/>
              </w:rPr>
            </w:pPr>
            <w:r>
              <w:rPr>
                <w:rFonts w:ascii="Times New Roman" w:hAnsi="宋体" w:eastAsia="宋体" w:cs="Times New Roman"/>
                <w:color w:val="auto"/>
                <w:sz w:val="18"/>
                <w:szCs w:val="18"/>
              </w:rPr>
              <w:t>排查日</w:t>
            </w:r>
            <w:r>
              <w:rPr>
                <w:rFonts w:ascii="Times New Roman" w:hAnsi="Calibri" w:eastAsia="宋体" w:cs="Times New Roman"/>
                <w:color w:val="auto"/>
                <w:sz w:val="18"/>
                <w:szCs w:val="18"/>
              </w:rPr>
              <w:t>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trPr>
        <w:tc>
          <w:tcPr>
            <w:tcW w:w="1389" w:type="dxa"/>
            <w:vMerge w:val="continue"/>
            <w:noWrap/>
            <w:vAlign w:val="center"/>
          </w:tcPr>
          <w:p>
            <w:pPr>
              <w:widowControl/>
              <w:snapToGrid w:val="0"/>
              <w:jc w:val="center"/>
              <w:rPr>
                <w:rFonts w:ascii="Times New Roman" w:hAnsi="Times New Roman" w:cs="Times New Roman"/>
                <w:color w:val="auto"/>
                <w:sz w:val="18"/>
                <w:szCs w:val="18"/>
              </w:rPr>
            </w:pPr>
          </w:p>
        </w:tc>
        <w:tc>
          <w:tcPr>
            <w:tcW w:w="998" w:type="dxa"/>
            <w:gridSpan w:val="2"/>
            <w:vMerge w:val="restart"/>
            <w:noWrap/>
            <w:vAlign w:val="center"/>
          </w:tcPr>
          <w:p>
            <w:pPr>
              <w:snapToGrid w:val="0"/>
              <w:jc w:val="center"/>
              <w:rPr>
                <w:rFonts w:ascii="Times New Roman" w:hAnsi="Times New Roman" w:cs="Times New Roman"/>
                <w:color w:val="auto"/>
                <w:sz w:val="18"/>
                <w:szCs w:val="18"/>
              </w:rPr>
            </w:pPr>
            <w:r>
              <w:rPr>
                <w:rFonts w:ascii="Times New Roman" w:hAnsi="宋体" w:eastAsia="宋体" w:cs="Times New Roman"/>
                <w:color w:val="auto"/>
                <w:sz w:val="18"/>
                <w:szCs w:val="18"/>
              </w:rPr>
              <w:t>法规标准</w:t>
            </w:r>
          </w:p>
        </w:tc>
        <w:tc>
          <w:tcPr>
            <w:tcW w:w="1099" w:type="dxa"/>
            <w:vMerge w:val="restart"/>
            <w:noWrap/>
            <w:vAlign w:val="center"/>
          </w:tcPr>
          <w:p>
            <w:pPr>
              <w:snapToGrid w:val="0"/>
              <w:jc w:val="center"/>
              <w:rPr>
                <w:rFonts w:ascii="Times New Roman" w:hAnsi="Times New Roman" w:cs="Times New Roman"/>
                <w:color w:val="auto"/>
                <w:sz w:val="18"/>
                <w:szCs w:val="18"/>
              </w:rPr>
            </w:pPr>
            <w:r>
              <w:rPr>
                <w:rFonts w:ascii="Times New Roman" w:hAnsi="宋体" w:eastAsia="宋体" w:cs="Times New Roman"/>
                <w:color w:val="auto"/>
                <w:sz w:val="18"/>
                <w:szCs w:val="18"/>
              </w:rPr>
              <w:t>适用条款</w:t>
            </w:r>
          </w:p>
        </w:tc>
        <w:tc>
          <w:tcPr>
            <w:tcW w:w="973" w:type="dxa"/>
            <w:noWrap/>
            <w:vAlign w:val="center"/>
          </w:tcPr>
          <w:p>
            <w:pPr>
              <w:widowControl/>
              <w:snapToGrid w:val="0"/>
              <w:jc w:val="center"/>
              <w:rPr>
                <w:rFonts w:ascii="Times New Roman" w:hAnsi="Times New Roman" w:cs="Times New Roman"/>
                <w:color w:val="auto"/>
                <w:sz w:val="18"/>
                <w:szCs w:val="18"/>
              </w:rPr>
            </w:pPr>
            <w:r>
              <w:rPr>
                <w:rFonts w:ascii="Times New Roman" w:hAnsi="宋体" w:eastAsia="宋体" w:cs="Times New Roman"/>
                <w:color w:val="auto"/>
                <w:sz w:val="18"/>
                <w:szCs w:val="18"/>
              </w:rPr>
              <w:t>符合</w:t>
            </w:r>
          </w:p>
        </w:tc>
        <w:tc>
          <w:tcPr>
            <w:tcW w:w="1817" w:type="dxa"/>
            <w:noWrap/>
            <w:vAlign w:val="center"/>
          </w:tcPr>
          <w:p>
            <w:pPr>
              <w:widowControl/>
              <w:snapToGrid w:val="0"/>
              <w:jc w:val="center"/>
              <w:rPr>
                <w:rFonts w:ascii="Times New Roman" w:hAnsi="Times New Roman" w:cs="Times New Roman"/>
                <w:color w:val="auto"/>
                <w:sz w:val="18"/>
                <w:szCs w:val="18"/>
              </w:rPr>
            </w:pPr>
            <w:r>
              <w:rPr>
                <w:rFonts w:ascii="Times New Roman" w:hAnsi="宋体" w:eastAsia="宋体" w:cs="Times New Roman"/>
                <w:color w:val="auto"/>
                <w:sz w:val="18"/>
                <w:szCs w:val="18"/>
              </w:rPr>
              <w:t>不符合</w:t>
            </w:r>
          </w:p>
        </w:tc>
        <w:tc>
          <w:tcPr>
            <w:tcW w:w="1334" w:type="dxa"/>
            <w:vMerge w:val="continue"/>
            <w:noWrap/>
            <w:vAlign w:val="center"/>
          </w:tcPr>
          <w:p>
            <w:pPr>
              <w:widowControl/>
              <w:snapToGrid w:val="0"/>
              <w:jc w:val="center"/>
              <w:rPr>
                <w:rFonts w:ascii="Times New Roman" w:hAnsi="Times New Roman" w:cs="Times New Roman"/>
                <w:color w:val="auto"/>
                <w:sz w:val="18"/>
                <w:szCs w:val="18"/>
              </w:rPr>
            </w:pPr>
          </w:p>
        </w:tc>
        <w:tc>
          <w:tcPr>
            <w:tcW w:w="1564" w:type="dxa"/>
            <w:vMerge w:val="continue"/>
            <w:noWrap/>
            <w:vAlign w:val="center"/>
          </w:tcPr>
          <w:p>
            <w:pPr>
              <w:widowControl/>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atLeast"/>
        </w:trPr>
        <w:tc>
          <w:tcPr>
            <w:tcW w:w="1389" w:type="dxa"/>
            <w:vMerge w:val="continue"/>
            <w:noWrap/>
            <w:vAlign w:val="center"/>
          </w:tcPr>
          <w:p>
            <w:pPr>
              <w:widowControl/>
              <w:snapToGrid w:val="0"/>
              <w:jc w:val="center"/>
              <w:rPr>
                <w:rFonts w:ascii="Times New Roman" w:hAnsi="Times New Roman" w:cs="Times New Roman"/>
                <w:color w:val="auto"/>
                <w:sz w:val="18"/>
                <w:szCs w:val="18"/>
              </w:rPr>
            </w:pPr>
          </w:p>
        </w:tc>
        <w:tc>
          <w:tcPr>
            <w:tcW w:w="998" w:type="dxa"/>
            <w:gridSpan w:val="2"/>
            <w:vMerge w:val="continue"/>
            <w:noWrap/>
            <w:vAlign w:val="center"/>
          </w:tcPr>
          <w:p>
            <w:pPr>
              <w:widowControl/>
              <w:snapToGrid w:val="0"/>
              <w:jc w:val="center"/>
              <w:rPr>
                <w:rFonts w:ascii="Times New Roman" w:hAnsi="Times New Roman" w:cs="Times New Roman"/>
                <w:color w:val="auto"/>
                <w:sz w:val="18"/>
                <w:szCs w:val="18"/>
              </w:rPr>
            </w:pPr>
          </w:p>
        </w:tc>
        <w:tc>
          <w:tcPr>
            <w:tcW w:w="1099" w:type="dxa"/>
            <w:vMerge w:val="continue"/>
            <w:noWrap/>
            <w:vAlign w:val="center"/>
          </w:tcPr>
          <w:p>
            <w:pPr>
              <w:widowControl/>
              <w:snapToGrid w:val="0"/>
              <w:jc w:val="center"/>
              <w:rPr>
                <w:rFonts w:ascii="Times New Roman" w:hAnsi="Times New Roman" w:cs="Times New Roman"/>
                <w:color w:val="auto"/>
                <w:sz w:val="18"/>
                <w:szCs w:val="18"/>
              </w:rPr>
            </w:pPr>
          </w:p>
        </w:tc>
        <w:tc>
          <w:tcPr>
            <w:tcW w:w="973" w:type="dxa"/>
            <w:noWrap/>
            <w:vAlign w:val="center"/>
          </w:tcPr>
          <w:p>
            <w:pPr>
              <w:widowControl/>
              <w:snapToGrid w:val="0"/>
              <w:jc w:val="center"/>
              <w:rPr>
                <w:rFonts w:ascii="Times New Roman" w:hAnsi="Times New Roman" w:cs="Times New Roman"/>
                <w:color w:val="auto"/>
                <w:sz w:val="18"/>
                <w:szCs w:val="18"/>
              </w:rPr>
            </w:pPr>
            <w:r>
              <w:rPr>
                <w:rFonts w:ascii="Times New Roman" w:hAnsi="宋体" w:eastAsia="宋体" w:cs="Times New Roman"/>
                <w:color w:val="auto"/>
                <w:sz w:val="18"/>
                <w:szCs w:val="18"/>
              </w:rPr>
              <w:t>打</w:t>
            </w:r>
            <w:r>
              <w:rPr>
                <w:rFonts w:ascii="Times New Roman" w:hAnsi="Times New Roman" w:cs="Times New Roman"/>
                <w:color w:val="auto"/>
                <w:sz w:val="18"/>
                <w:szCs w:val="18"/>
              </w:rPr>
              <w:t>√</w:t>
            </w:r>
          </w:p>
        </w:tc>
        <w:tc>
          <w:tcPr>
            <w:tcW w:w="1817" w:type="dxa"/>
            <w:noWrap/>
            <w:vAlign w:val="center"/>
          </w:tcPr>
          <w:p>
            <w:pPr>
              <w:widowControl/>
              <w:snapToGrid w:val="0"/>
              <w:jc w:val="center"/>
              <w:rPr>
                <w:rFonts w:ascii="Times New Roman" w:hAnsi="Times New Roman" w:eastAsia="宋体" w:cs="Times New Roman"/>
                <w:color w:val="auto"/>
                <w:sz w:val="18"/>
                <w:szCs w:val="18"/>
              </w:rPr>
            </w:pPr>
            <w:r>
              <w:rPr>
                <w:rFonts w:ascii="Times New Roman" w:hAnsi="宋体" w:eastAsia="宋体" w:cs="Times New Roman"/>
                <w:color w:val="auto"/>
                <w:sz w:val="18"/>
                <w:szCs w:val="18"/>
              </w:rPr>
              <w:t>隐患排查治理</w:t>
            </w:r>
          </w:p>
          <w:p>
            <w:pPr>
              <w:widowControl/>
              <w:snapToGrid w:val="0"/>
              <w:jc w:val="center"/>
              <w:rPr>
                <w:rFonts w:ascii="Times New Roman" w:hAnsi="Times New Roman" w:cs="Times New Roman"/>
                <w:color w:val="auto"/>
                <w:sz w:val="18"/>
                <w:szCs w:val="18"/>
              </w:rPr>
            </w:pPr>
            <w:r>
              <w:rPr>
                <w:rFonts w:ascii="Times New Roman" w:hAnsi="宋体" w:eastAsia="宋体" w:cs="Times New Roman"/>
                <w:color w:val="auto"/>
                <w:sz w:val="18"/>
                <w:szCs w:val="18"/>
              </w:rPr>
              <w:t>记录表编号</w:t>
            </w:r>
          </w:p>
        </w:tc>
        <w:tc>
          <w:tcPr>
            <w:tcW w:w="1334" w:type="dxa"/>
            <w:vMerge w:val="continue"/>
            <w:noWrap/>
            <w:vAlign w:val="center"/>
          </w:tcPr>
          <w:p>
            <w:pPr>
              <w:widowControl/>
              <w:snapToGrid w:val="0"/>
              <w:jc w:val="center"/>
              <w:rPr>
                <w:rFonts w:ascii="Times New Roman" w:hAnsi="Times New Roman" w:cs="Times New Roman"/>
                <w:color w:val="auto"/>
                <w:sz w:val="18"/>
                <w:szCs w:val="18"/>
              </w:rPr>
            </w:pPr>
          </w:p>
        </w:tc>
        <w:tc>
          <w:tcPr>
            <w:tcW w:w="1564" w:type="dxa"/>
            <w:vMerge w:val="continue"/>
            <w:noWrap/>
            <w:vAlign w:val="center"/>
          </w:tcPr>
          <w:p>
            <w:pPr>
              <w:widowControl/>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89" w:type="dxa"/>
            <w:noWrap/>
            <w:vAlign w:val="center"/>
          </w:tcPr>
          <w:p>
            <w:pPr>
              <w:widowControl/>
              <w:snapToGrid w:val="0"/>
              <w:jc w:val="center"/>
              <w:rPr>
                <w:rFonts w:ascii="Times New Roman" w:hAnsi="Times New Roman" w:cs="Times New Roman"/>
                <w:color w:val="auto"/>
                <w:sz w:val="18"/>
                <w:szCs w:val="18"/>
              </w:rPr>
            </w:pPr>
          </w:p>
        </w:tc>
        <w:tc>
          <w:tcPr>
            <w:tcW w:w="998" w:type="dxa"/>
            <w:gridSpan w:val="2"/>
            <w:noWrap/>
            <w:vAlign w:val="center"/>
          </w:tcPr>
          <w:p>
            <w:pPr>
              <w:widowControl/>
              <w:snapToGrid w:val="0"/>
              <w:jc w:val="center"/>
              <w:rPr>
                <w:rFonts w:ascii="Times New Roman" w:hAnsi="Times New Roman" w:cs="Times New Roman"/>
                <w:color w:val="auto"/>
                <w:sz w:val="18"/>
                <w:szCs w:val="18"/>
              </w:rPr>
            </w:pPr>
          </w:p>
        </w:tc>
        <w:tc>
          <w:tcPr>
            <w:tcW w:w="1099" w:type="dxa"/>
            <w:noWrap/>
            <w:vAlign w:val="center"/>
          </w:tcPr>
          <w:p>
            <w:pPr>
              <w:widowControl/>
              <w:snapToGrid w:val="0"/>
              <w:jc w:val="center"/>
              <w:rPr>
                <w:rFonts w:ascii="Times New Roman" w:hAnsi="Times New Roman" w:cs="Times New Roman"/>
                <w:color w:val="auto"/>
                <w:sz w:val="18"/>
                <w:szCs w:val="18"/>
              </w:rPr>
            </w:pPr>
          </w:p>
        </w:tc>
        <w:tc>
          <w:tcPr>
            <w:tcW w:w="973" w:type="dxa"/>
            <w:noWrap/>
            <w:vAlign w:val="center"/>
          </w:tcPr>
          <w:p>
            <w:pPr>
              <w:widowControl/>
              <w:snapToGrid w:val="0"/>
              <w:jc w:val="center"/>
              <w:rPr>
                <w:rFonts w:ascii="Times New Roman" w:hAnsi="Times New Roman" w:cs="Times New Roman"/>
                <w:color w:val="auto"/>
                <w:sz w:val="18"/>
                <w:szCs w:val="18"/>
              </w:rPr>
            </w:pPr>
          </w:p>
        </w:tc>
        <w:tc>
          <w:tcPr>
            <w:tcW w:w="1817" w:type="dxa"/>
            <w:noWrap/>
            <w:vAlign w:val="center"/>
          </w:tcPr>
          <w:p>
            <w:pPr>
              <w:widowControl/>
              <w:snapToGrid w:val="0"/>
              <w:jc w:val="center"/>
              <w:rPr>
                <w:rFonts w:ascii="Times New Roman" w:hAnsi="Times New Roman" w:cs="Times New Roman"/>
                <w:color w:val="auto"/>
                <w:sz w:val="18"/>
                <w:szCs w:val="18"/>
              </w:rPr>
            </w:pPr>
          </w:p>
        </w:tc>
        <w:tc>
          <w:tcPr>
            <w:tcW w:w="1334" w:type="dxa"/>
            <w:noWrap/>
            <w:vAlign w:val="center"/>
          </w:tcPr>
          <w:p>
            <w:pPr>
              <w:widowControl/>
              <w:snapToGrid w:val="0"/>
              <w:jc w:val="center"/>
              <w:rPr>
                <w:rFonts w:ascii="Times New Roman" w:hAnsi="Times New Roman" w:cs="Times New Roman"/>
                <w:color w:val="auto"/>
                <w:sz w:val="18"/>
                <w:szCs w:val="18"/>
              </w:rPr>
            </w:pPr>
          </w:p>
        </w:tc>
        <w:tc>
          <w:tcPr>
            <w:tcW w:w="1564" w:type="dxa"/>
            <w:noWrap/>
            <w:vAlign w:val="center"/>
          </w:tcPr>
          <w:p>
            <w:pPr>
              <w:widowControl/>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89" w:type="dxa"/>
            <w:noWrap/>
            <w:vAlign w:val="center"/>
          </w:tcPr>
          <w:p>
            <w:pPr>
              <w:widowControl/>
              <w:snapToGrid w:val="0"/>
              <w:jc w:val="center"/>
              <w:rPr>
                <w:rFonts w:ascii="Times New Roman" w:hAnsi="Times New Roman" w:cs="Times New Roman"/>
                <w:color w:val="auto"/>
                <w:sz w:val="18"/>
                <w:szCs w:val="18"/>
              </w:rPr>
            </w:pPr>
          </w:p>
        </w:tc>
        <w:tc>
          <w:tcPr>
            <w:tcW w:w="998" w:type="dxa"/>
            <w:gridSpan w:val="2"/>
            <w:noWrap/>
            <w:vAlign w:val="center"/>
          </w:tcPr>
          <w:p>
            <w:pPr>
              <w:widowControl/>
              <w:snapToGrid w:val="0"/>
              <w:jc w:val="center"/>
              <w:rPr>
                <w:rFonts w:ascii="Times New Roman" w:hAnsi="Times New Roman" w:cs="Times New Roman"/>
                <w:color w:val="auto"/>
                <w:sz w:val="18"/>
                <w:szCs w:val="18"/>
              </w:rPr>
            </w:pPr>
          </w:p>
        </w:tc>
        <w:tc>
          <w:tcPr>
            <w:tcW w:w="1099" w:type="dxa"/>
            <w:noWrap/>
            <w:vAlign w:val="center"/>
          </w:tcPr>
          <w:p>
            <w:pPr>
              <w:widowControl/>
              <w:snapToGrid w:val="0"/>
              <w:jc w:val="center"/>
              <w:rPr>
                <w:rFonts w:ascii="Times New Roman" w:hAnsi="Times New Roman" w:cs="Times New Roman"/>
                <w:color w:val="auto"/>
                <w:sz w:val="18"/>
                <w:szCs w:val="18"/>
              </w:rPr>
            </w:pPr>
          </w:p>
        </w:tc>
        <w:tc>
          <w:tcPr>
            <w:tcW w:w="973" w:type="dxa"/>
            <w:noWrap/>
            <w:vAlign w:val="center"/>
          </w:tcPr>
          <w:p>
            <w:pPr>
              <w:widowControl/>
              <w:snapToGrid w:val="0"/>
              <w:jc w:val="center"/>
              <w:rPr>
                <w:rFonts w:ascii="Times New Roman" w:hAnsi="Times New Roman" w:cs="Times New Roman"/>
                <w:color w:val="auto"/>
                <w:sz w:val="18"/>
                <w:szCs w:val="18"/>
              </w:rPr>
            </w:pPr>
          </w:p>
        </w:tc>
        <w:tc>
          <w:tcPr>
            <w:tcW w:w="1817" w:type="dxa"/>
            <w:noWrap/>
            <w:vAlign w:val="center"/>
          </w:tcPr>
          <w:p>
            <w:pPr>
              <w:widowControl/>
              <w:snapToGrid w:val="0"/>
              <w:jc w:val="center"/>
              <w:rPr>
                <w:rFonts w:ascii="Times New Roman" w:hAnsi="Times New Roman" w:cs="Times New Roman"/>
                <w:color w:val="auto"/>
                <w:sz w:val="18"/>
                <w:szCs w:val="18"/>
              </w:rPr>
            </w:pPr>
          </w:p>
        </w:tc>
        <w:tc>
          <w:tcPr>
            <w:tcW w:w="1334" w:type="dxa"/>
            <w:noWrap/>
            <w:vAlign w:val="center"/>
          </w:tcPr>
          <w:p>
            <w:pPr>
              <w:widowControl/>
              <w:snapToGrid w:val="0"/>
              <w:jc w:val="center"/>
              <w:rPr>
                <w:rFonts w:ascii="Times New Roman" w:hAnsi="Times New Roman" w:cs="Times New Roman"/>
                <w:color w:val="auto"/>
                <w:sz w:val="18"/>
                <w:szCs w:val="18"/>
              </w:rPr>
            </w:pPr>
          </w:p>
        </w:tc>
        <w:tc>
          <w:tcPr>
            <w:tcW w:w="1564" w:type="dxa"/>
            <w:noWrap/>
            <w:vAlign w:val="center"/>
          </w:tcPr>
          <w:p>
            <w:pPr>
              <w:widowControl/>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89" w:type="dxa"/>
            <w:noWrap/>
            <w:vAlign w:val="center"/>
          </w:tcPr>
          <w:p>
            <w:pPr>
              <w:widowControl/>
              <w:snapToGrid w:val="0"/>
              <w:jc w:val="center"/>
              <w:rPr>
                <w:rFonts w:ascii="Times New Roman" w:hAnsi="Times New Roman" w:cs="Times New Roman"/>
                <w:color w:val="auto"/>
                <w:sz w:val="18"/>
                <w:szCs w:val="18"/>
              </w:rPr>
            </w:pPr>
          </w:p>
        </w:tc>
        <w:tc>
          <w:tcPr>
            <w:tcW w:w="998" w:type="dxa"/>
            <w:gridSpan w:val="2"/>
            <w:noWrap/>
            <w:vAlign w:val="center"/>
          </w:tcPr>
          <w:p>
            <w:pPr>
              <w:widowControl/>
              <w:snapToGrid w:val="0"/>
              <w:jc w:val="center"/>
              <w:rPr>
                <w:rFonts w:ascii="Times New Roman" w:hAnsi="Times New Roman" w:cs="Times New Roman"/>
                <w:color w:val="auto"/>
                <w:sz w:val="18"/>
                <w:szCs w:val="18"/>
              </w:rPr>
            </w:pPr>
          </w:p>
        </w:tc>
        <w:tc>
          <w:tcPr>
            <w:tcW w:w="1099" w:type="dxa"/>
            <w:noWrap/>
            <w:vAlign w:val="center"/>
          </w:tcPr>
          <w:p>
            <w:pPr>
              <w:widowControl/>
              <w:snapToGrid w:val="0"/>
              <w:jc w:val="center"/>
              <w:rPr>
                <w:rFonts w:ascii="Times New Roman" w:hAnsi="Times New Roman" w:cs="Times New Roman"/>
                <w:color w:val="auto"/>
                <w:sz w:val="18"/>
                <w:szCs w:val="18"/>
              </w:rPr>
            </w:pPr>
          </w:p>
        </w:tc>
        <w:tc>
          <w:tcPr>
            <w:tcW w:w="973" w:type="dxa"/>
            <w:noWrap/>
            <w:vAlign w:val="center"/>
          </w:tcPr>
          <w:p>
            <w:pPr>
              <w:widowControl/>
              <w:snapToGrid w:val="0"/>
              <w:jc w:val="center"/>
              <w:rPr>
                <w:rFonts w:ascii="Times New Roman" w:hAnsi="Times New Roman" w:cs="Times New Roman"/>
                <w:color w:val="auto"/>
                <w:sz w:val="18"/>
                <w:szCs w:val="18"/>
              </w:rPr>
            </w:pPr>
          </w:p>
        </w:tc>
        <w:tc>
          <w:tcPr>
            <w:tcW w:w="1817" w:type="dxa"/>
            <w:noWrap/>
            <w:vAlign w:val="center"/>
          </w:tcPr>
          <w:p>
            <w:pPr>
              <w:widowControl/>
              <w:snapToGrid w:val="0"/>
              <w:jc w:val="center"/>
              <w:rPr>
                <w:rFonts w:ascii="Times New Roman" w:hAnsi="Times New Roman" w:cs="Times New Roman"/>
                <w:color w:val="auto"/>
                <w:sz w:val="18"/>
                <w:szCs w:val="18"/>
              </w:rPr>
            </w:pPr>
          </w:p>
        </w:tc>
        <w:tc>
          <w:tcPr>
            <w:tcW w:w="1334" w:type="dxa"/>
            <w:noWrap/>
            <w:vAlign w:val="center"/>
          </w:tcPr>
          <w:p>
            <w:pPr>
              <w:widowControl/>
              <w:snapToGrid w:val="0"/>
              <w:jc w:val="center"/>
              <w:rPr>
                <w:rFonts w:ascii="Times New Roman" w:hAnsi="Times New Roman" w:cs="Times New Roman"/>
                <w:color w:val="auto"/>
                <w:sz w:val="18"/>
                <w:szCs w:val="18"/>
              </w:rPr>
            </w:pPr>
          </w:p>
        </w:tc>
        <w:tc>
          <w:tcPr>
            <w:tcW w:w="1564" w:type="dxa"/>
            <w:noWrap/>
            <w:vAlign w:val="center"/>
          </w:tcPr>
          <w:p>
            <w:pPr>
              <w:widowControl/>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89" w:type="dxa"/>
            <w:noWrap/>
            <w:vAlign w:val="center"/>
          </w:tcPr>
          <w:p>
            <w:pPr>
              <w:widowControl/>
              <w:snapToGrid w:val="0"/>
              <w:jc w:val="center"/>
              <w:rPr>
                <w:rFonts w:ascii="Times New Roman" w:hAnsi="Times New Roman" w:cs="Times New Roman"/>
                <w:color w:val="auto"/>
                <w:sz w:val="18"/>
                <w:szCs w:val="18"/>
              </w:rPr>
            </w:pPr>
          </w:p>
        </w:tc>
        <w:tc>
          <w:tcPr>
            <w:tcW w:w="998" w:type="dxa"/>
            <w:gridSpan w:val="2"/>
            <w:noWrap/>
            <w:vAlign w:val="center"/>
          </w:tcPr>
          <w:p>
            <w:pPr>
              <w:widowControl/>
              <w:snapToGrid w:val="0"/>
              <w:jc w:val="center"/>
              <w:rPr>
                <w:rFonts w:ascii="Times New Roman" w:hAnsi="Times New Roman" w:cs="Times New Roman"/>
                <w:color w:val="auto"/>
                <w:sz w:val="18"/>
                <w:szCs w:val="18"/>
              </w:rPr>
            </w:pPr>
          </w:p>
        </w:tc>
        <w:tc>
          <w:tcPr>
            <w:tcW w:w="1099" w:type="dxa"/>
            <w:noWrap/>
            <w:vAlign w:val="center"/>
          </w:tcPr>
          <w:p>
            <w:pPr>
              <w:widowControl/>
              <w:snapToGrid w:val="0"/>
              <w:jc w:val="center"/>
              <w:rPr>
                <w:rFonts w:ascii="Times New Roman" w:hAnsi="Times New Roman" w:cs="Times New Roman"/>
                <w:color w:val="auto"/>
                <w:sz w:val="18"/>
                <w:szCs w:val="18"/>
              </w:rPr>
            </w:pPr>
          </w:p>
        </w:tc>
        <w:tc>
          <w:tcPr>
            <w:tcW w:w="973" w:type="dxa"/>
            <w:noWrap/>
            <w:vAlign w:val="center"/>
          </w:tcPr>
          <w:p>
            <w:pPr>
              <w:widowControl/>
              <w:snapToGrid w:val="0"/>
              <w:jc w:val="center"/>
              <w:rPr>
                <w:rFonts w:ascii="Times New Roman" w:hAnsi="Times New Roman" w:cs="Times New Roman"/>
                <w:color w:val="auto"/>
                <w:sz w:val="18"/>
                <w:szCs w:val="18"/>
              </w:rPr>
            </w:pPr>
          </w:p>
        </w:tc>
        <w:tc>
          <w:tcPr>
            <w:tcW w:w="1817" w:type="dxa"/>
            <w:noWrap/>
            <w:vAlign w:val="center"/>
          </w:tcPr>
          <w:p>
            <w:pPr>
              <w:widowControl/>
              <w:snapToGrid w:val="0"/>
              <w:jc w:val="center"/>
              <w:rPr>
                <w:rFonts w:ascii="Times New Roman" w:hAnsi="Times New Roman" w:cs="Times New Roman"/>
                <w:color w:val="auto"/>
                <w:sz w:val="18"/>
                <w:szCs w:val="18"/>
              </w:rPr>
            </w:pPr>
          </w:p>
        </w:tc>
        <w:tc>
          <w:tcPr>
            <w:tcW w:w="1334" w:type="dxa"/>
            <w:noWrap/>
            <w:vAlign w:val="center"/>
          </w:tcPr>
          <w:p>
            <w:pPr>
              <w:widowControl/>
              <w:snapToGrid w:val="0"/>
              <w:jc w:val="center"/>
              <w:rPr>
                <w:rFonts w:ascii="Times New Roman" w:hAnsi="Times New Roman" w:cs="Times New Roman"/>
                <w:color w:val="auto"/>
                <w:sz w:val="18"/>
                <w:szCs w:val="18"/>
              </w:rPr>
            </w:pPr>
          </w:p>
        </w:tc>
        <w:tc>
          <w:tcPr>
            <w:tcW w:w="1564" w:type="dxa"/>
            <w:noWrap/>
            <w:vAlign w:val="center"/>
          </w:tcPr>
          <w:p>
            <w:pPr>
              <w:widowControl/>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89" w:type="dxa"/>
            <w:noWrap/>
            <w:vAlign w:val="center"/>
          </w:tcPr>
          <w:p>
            <w:pPr>
              <w:widowControl/>
              <w:snapToGrid w:val="0"/>
              <w:jc w:val="center"/>
              <w:rPr>
                <w:rFonts w:ascii="Times New Roman" w:hAnsi="Times New Roman" w:cs="Times New Roman"/>
                <w:color w:val="auto"/>
                <w:sz w:val="18"/>
                <w:szCs w:val="18"/>
              </w:rPr>
            </w:pPr>
          </w:p>
        </w:tc>
        <w:tc>
          <w:tcPr>
            <w:tcW w:w="998" w:type="dxa"/>
            <w:gridSpan w:val="2"/>
            <w:noWrap/>
            <w:vAlign w:val="center"/>
          </w:tcPr>
          <w:p>
            <w:pPr>
              <w:widowControl/>
              <w:snapToGrid w:val="0"/>
              <w:jc w:val="center"/>
              <w:rPr>
                <w:rFonts w:ascii="Times New Roman" w:hAnsi="Times New Roman" w:cs="Times New Roman"/>
                <w:color w:val="auto"/>
                <w:sz w:val="18"/>
                <w:szCs w:val="18"/>
              </w:rPr>
            </w:pPr>
          </w:p>
        </w:tc>
        <w:tc>
          <w:tcPr>
            <w:tcW w:w="1099" w:type="dxa"/>
            <w:noWrap/>
            <w:vAlign w:val="center"/>
          </w:tcPr>
          <w:p>
            <w:pPr>
              <w:widowControl/>
              <w:snapToGrid w:val="0"/>
              <w:jc w:val="center"/>
              <w:rPr>
                <w:rFonts w:ascii="Times New Roman" w:hAnsi="Times New Roman" w:cs="Times New Roman"/>
                <w:color w:val="auto"/>
                <w:sz w:val="18"/>
                <w:szCs w:val="18"/>
              </w:rPr>
            </w:pPr>
          </w:p>
        </w:tc>
        <w:tc>
          <w:tcPr>
            <w:tcW w:w="973" w:type="dxa"/>
            <w:noWrap/>
            <w:vAlign w:val="center"/>
          </w:tcPr>
          <w:p>
            <w:pPr>
              <w:widowControl/>
              <w:snapToGrid w:val="0"/>
              <w:jc w:val="center"/>
              <w:rPr>
                <w:rFonts w:ascii="Times New Roman" w:hAnsi="Times New Roman" w:cs="Times New Roman"/>
                <w:color w:val="auto"/>
                <w:sz w:val="18"/>
                <w:szCs w:val="18"/>
              </w:rPr>
            </w:pPr>
          </w:p>
        </w:tc>
        <w:tc>
          <w:tcPr>
            <w:tcW w:w="1817" w:type="dxa"/>
            <w:noWrap/>
            <w:vAlign w:val="center"/>
          </w:tcPr>
          <w:p>
            <w:pPr>
              <w:widowControl/>
              <w:snapToGrid w:val="0"/>
              <w:jc w:val="center"/>
              <w:rPr>
                <w:rFonts w:ascii="Times New Roman" w:hAnsi="Times New Roman" w:cs="Times New Roman"/>
                <w:color w:val="auto"/>
                <w:sz w:val="18"/>
                <w:szCs w:val="18"/>
              </w:rPr>
            </w:pPr>
          </w:p>
        </w:tc>
        <w:tc>
          <w:tcPr>
            <w:tcW w:w="1334" w:type="dxa"/>
            <w:noWrap/>
            <w:vAlign w:val="center"/>
          </w:tcPr>
          <w:p>
            <w:pPr>
              <w:widowControl/>
              <w:snapToGrid w:val="0"/>
              <w:jc w:val="center"/>
              <w:rPr>
                <w:rFonts w:ascii="Times New Roman" w:hAnsi="Times New Roman" w:cs="Times New Roman"/>
                <w:color w:val="auto"/>
                <w:sz w:val="18"/>
                <w:szCs w:val="18"/>
              </w:rPr>
            </w:pPr>
          </w:p>
        </w:tc>
        <w:tc>
          <w:tcPr>
            <w:tcW w:w="1564" w:type="dxa"/>
            <w:noWrap/>
            <w:vAlign w:val="center"/>
          </w:tcPr>
          <w:p>
            <w:pPr>
              <w:widowControl/>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89" w:type="dxa"/>
            <w:noWrap/>
            <w:vAlign w:val="center"/>
          </w:tcPr>
          <w:p>
            <w:pPr>
              <w:widowControl/>
              <w:snapToGrid w:val="0"/>
              <w:jc w:val="center"/>
              <w:rPr>
                <w:rFonts w:ascii="Times New Roman" w:hAnsi="Times New Roman" w:cs="Times New Roman"/>
                <w:color w:val="auto"/>
                <w:sz w:val="18"/>
                <w:szCs w:val="18"/>
              </w:rPr>
            </w:pPr>
          </w:p>
        </w:tc>
        <w:tc>
          <w:tcPr>
            <w:tcW w:w="998" w:type="dxa"/>
            <w:gridSpan w:val="2"/>
            <w:noWrap/>
            <w:vAlign w:val="center"/>
          </w:tcPr>
          <w:p>
            <w:pPr>
              <w:widowControl/>
              <w:snapToGrid w:val="0"/>
              <w:jc w:val="center"/>
              <w:rPr>
                <w:rFonts w:ascii="Times New Roman" w:hAnsi="Times New Roman" w:cs="Times New Roman"/>
                <w:color w:val="auto"/>
                <w:sz w:val="18"/>
                <w:szCs w:val="18"/>
              </w:rPr>
            </w:pPr>
          </w:p>
        </w:tc>
        <w:tc>
          <w:tcPr>
            <w:tcW w:w="1099" w:type="dxa"/>
            <w:noWrap/>
            <w:vAlign w:val="center"/>
          </w:tcPr>
          <w:p>
            <w:pPr>
              <w:widowControl/>
              <w:snapToGrid w:val="0"/>
              <w:jc w:val="center"/>
              <w:rPr>
                <w:rFonts w:ascii="Times New Roman" w:hAnsi="Times New Roman" w:cs="Times New Roman"/>
                <w:color w:val="auto"/>
                <w:sz w:val="18"/>
                <w:szCs w:val="18"/>
              </w:rPr>
            </w:pPr>
          </w:p>
        </w:tc>
        <w:tc>
          <w:tcPr>
            <w:tcW w:w="973" w:type="dxa"/>
            <w:noWrap/>
            <w:vAlign w:val="center"/>
          </w:tcPr>
          <w:p>
            <w:pPr>
              <w:widowControl/>
              <w:snapToGrid w:val="0"/>
              <w:jc w:val="center"/>
              <w:rPr>
                <w:rFonts w:ascii="Times New Roman" w:hAnsi="Times New Roman" w:cs="Times New Roman"/>
                <w:color w:val="auto"/>
                <w:sz w:val="18"/>
                <w:szCs w:val="18"/>
              </w:rPr>
            </w:pPr>
          </w:p>
        </w:tc>
        <w:tc>
          <w:tcPr>
            <w:tcW w:w="1817" w:type="dxa"/>
            <w:noWrap/>
            <w:vAlign w:val="center"/>
          </w:tcPr>
          <w:p>
            <w:pPr>
              <w:widowControl/>
              <w:snapToGrid w:val="0"/>
              <w:jc w:val="center"/>
              <w:rPr>
                <w:rFonts w:ascii="Times New Roman" w:hAnsi="Times New Roman" w:cs="Times New Roman"/>
                <w:color w:val="auto"/>
                <w:sz w:val="18"/>
                <w:szCs w:val="18"/>
              </w:rPr>
            </w:pPr>
          </w:p>
        </w:tc>
        <w:tc>
          <w:tcPr>
            <w:tcW w:w="1334" w:type="dxa"/>
            <w:noWrap/>
            <w:vAlign w:val="center"/>
          </w:tcPr>
          <w:p>
            <w:pPr>
              <w:widowControl/>
              <w:snapToGrid w:val="0"/>
              <w:jc w:val="center"/>
              <w:rPr>
                <w:rFonts w:ascii="Times New Roman" w:hAnsi="Times New Roman" w:cs="Times New Roman"/>
                <w:color w:val="auto"/>
                <w:sz w:val="18"/>
                <w:szCs w:val="18"/>
              </w:rPr>
            </w:pPr>
          </w:p>
        </w:tc>
        <w:tc>
          <w:tcPr>
            <w:tcW w:w="1564" w:type="dxa"/>
            <w:noWrap/>
            <w:vAlign w:val="center"/>
          </w:tcPr>
          <w:p>
            <w:pPr>
              <w:widowControl/>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89" w:type="dxa"/>
            <w:noWrap/>
            <w:vAlign w:val="center"/>
          </w:tcPr>
          <w:p>
            <w:pPr>
              <w:widowControl/>
              <w:snapToGrid w:val="0"/>
              <w:jc w:val="center"/>
              <w:rPr>
                <w:rFonts w:ascii="Times New Roman" w:hAnsi="Times New Roman" w:cs="Times New Roman"/>
                <w:color w:val="auto"/>
                <w:sz w:val="18"/>
                <w:szCs w:val="18"/>
              </w:rPr>
            </w:pPr>
          </w:p>
        </w:tc>
        <w:tc>
          <w:tcPr>
            <w:tcW w:w="998" w:type="dxa"/>
            <w:gridSpan w:val="2"/>
            <w:noWrap/>
            <w:vAlign w:val="center"/>
          </w:tcPr>
          <w:p>
            <w:pPr>
              <w:widowControl/>
              <w:snapToGrid w:val="0"/>
              <w:jc w:val="center"/>
              <w:rPr>
                <w:rFonts w:ascii="Times New Roman" w:hAnsi="Times New Roman" w:cs="Times New Roman"/>
                <w:color w:val="auto"/>
                <w:sz w:val="18"/>
                <w:szCs w:val="18"/>
              </w:rPr>
            </w:pPr>
          </w:p>
        </w:tc>
        <w:tc>
          <w:tcPr>
            <w:tcW w:w="1099" w:type="dxa"/>
            <w:noWrap/>
            <w:vAlign w:val="center"/>
          </w:tcPr>
          <w:p>
            <w:pPr>
              <w:widowControl/>
              <w:snapToGrid w:val="0"/>
              <w:jc w:val="center"/>
              <w:rPr>
                <w:rFonts w:ascii="Times New Roman" w:hAnsi="Times New Roman" w:cs="Times New Roman"/>
                <w:color w:val="auto"/>
                <w:sz w:val="18"/>
                <w:szCs w:val="18"/>
              </w:rPr>
            </w:pPr>
          </w:p>
        </w:tc>
        <w:tc>
          <w:tcPr>
            <w:tcW w:w="973" w:type="dxa"/>
            <w:noWrap/>
            <w:vAlign w:val="center"/>
          </w:tcPr>
          <w:p>
            <w:pPr>
              <w:widowControl/>
              <w:snapToGrid w:val="0"/>
              <w:jc w:val="center"/>
              <w:rPr>
                <w:rFonts w:ascii="Times New Roman" w:hAnsi="Times New Roman" w:cs="Times New Roman"/>
                <w:color w:val="auto"/>
                <w:sz w:val="18"/>
                <w:szCs w:val="18"/>
              </w:rPr>
            </w:pPr>
          </w:p>
        </w:tc>
        <w:tc>
          <w:tcPr>
            <w:tcW w:w="1817" w:type="dxa"/>
            <w:noWrap/>
            <w:vAlign w:val="center"/>
          </w:tcPr>
          <w:p>
            <w:pPr>
              <w:widowControl/>
              <w:snapToGrid w:val="0"/>
              <w:jc w:val="center"/>
              <w:rPr>
                <w:rFonts w:ascii="Times New Roman" w:hAnsi="Times New Roman" w:cs="Times New Roman"/>
                <w:color w:val="auto"/>
                <w:sz w:val="18"/>
                <w:szCs w:val="18"/>
              </w:rPr>
            </w:pPr>
          </w:p>
        </w:tc>
        <w:tc>
          <w:tcPr>
            <w:tcW w:w="1334" w:type="dxa"/>
            <w:noWrap/>
            <w:vAlign w:val="center"/>
          </w:tcPr>
          <w:p>
            <w:pPr>
              <w:widowControl/>
              <w:snapToGrid w:val="0"/>
              <w:jc w:val="center"/>
              <w:rPr>
                <w:rFonts w:ascii="Times New Roman" w:hAnsi="Times New Roman" w:cs="Times New Roman"/>
                <w:color w:val="auto"/>
                <w:sz w:val="18"/>
                <w:szCs w:val="18"/>
              </w:rPr>
            </w:pPr>
          </w:p>
        </w:tc>
        <w:tc>
          <w:tcPr>
            <w:tcW w:w="1564" w:type="dxa"/>
            <w:noWrap/>
            <w:vAlign w:val="center"/>
          </w:tcPr>
          <w:p>
            <w:pPr>
              <w:widowControl/>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89" w:type="dxa"/>
            <w:noWrap/>
            <w:vAlign w:val="center"/>
          </w:tcPr>
          <w:p>
            <w:pPr>
              <w:widowControl/>
              <w:snapToGrid w:val="0"/>
              <w:jc w:val="center"/>
              <w:rPr>
                <w:rFonts w:ascii="Times New Roman" w:hAnsi="Times New Roman" w:cs="Times New Roman"/>
                <w:color w:val="auto"/>
                <w:sz w:val="18"/>
                <w:szCs w:val="18"/>
              </w:rPr>
            </w:pPr>
          </w:p>
        </w:tc>
        <w:tc>
          <w:tcPr>
            <w:tcW w:w="998" w:type="dxa"/>
            <w:gridSpan w:val="2"/>
            <w:noWrap/>
            <w:vAlign w:val="center"/>
          </w:tcPr>
          <w:p>
            <w:pPr>
              <w:widowControl/>
              <w:snapToGrid w:val="0"/>
              <w:jc w:val="center"/>
              <w:rPr>
                <w:rFonts w:ascii="Times New Roman" w:hAnsi="Times New Roman" w:cs="Times New Roman"/>
                <w:color w:val="auto"/>
                <w:sz w:val="18"/>
                <w:szCs w:val="18"/>
              </w:rPr>
            </w:pPr>
          </w:p>
        </w:tc>
        <w:tc>
          <w:tcPr>
            <w:tcW w:w="1099" w:type="dxa"/>
            <w:noWrap/>
            <w:vAlign w:val="center"/>
          </w:tcPr>
          <w:p>
            <w:pPr>
              <w:widowControl/>
              <w:snapToGrid w:val="0"/>
              <w:jc w:val="center"/>
              <w:rPr>
                <w:rFonts w:ascii="Times New Roman" w:hAnsi="Times New Roman" w:cs="Times New Roman"/>
                <w:color w:val="auto"/>
                <w:sz w:val="18"/>
                <w:szCs w:val="18"/>
              </w:rPr>
            </w:pPr>
          </w:p>
        </w:tc>
        <w:tc>
          <w:tcPr>
            <w:tcW w:w="973" w:type="dxa"/>
            <w:noWrap/>
            <w:vAlign w:val="center"/>
          </w:tcPr>
          <w:p>
            <w:pPr>
              <w:widowControl/>
              <w:snapToGrid w:val="0"/>
              <w:jc w:val="center"/>
              <w:rPr>
                <w:rFonts w:ascii="Times New Roman" w:hAnsi="Times New Roman" w:cs="Times New Roman"/>
                <w:color w:val="auto"/>
                <w:sz w:val="18"/>
                <w:szCs w:val="18"/>
              </w:rPr>
            </w:pPr>
          </w:p>
        </w:tc>
        <w:tc>
          <w:tcPr>
            <w:tcW w:w="1817" w:type="dxa"/>
            <w:noWrap/>
            <w:vAlign w:val="center"/>
          </w:tcPr>
          <w:p>
            <w:pPr>
              <w:widowControl/>
              <w:snapToGrid w:val="0"/>
              <w:jc w:val="center"/>
              <w:rPr>
                <w:rFonts w:ascii="Times New Roman" w:hAnsi="Times New Roman" w:cs="Times New Roman"/>
                <w:color w:val="auto"/>
                <w:sz w:val="18"/>
                <w:szCs w:val="18"/>
              </w:rPr>
            </w:pPr>
          </w:p>
        </w:tc>
        <w:tc>
          <w:tcPr>
            <w:tcW w:w="1334" w:type="dxa"/>
            <w:noWrap/>
            <w:vAlign w:val="center"/>
          </w:tcPr>
          <w:p>
            <w:pPr>
              <w:widowControl/>
              <w:snapToGrid w:val="0"/>
              <w:jc w:val="center"/>
              <w:rPr>
                <w:rFonts w:ascii="Times New Roman" w:hAnsi="Times New Roman" w:cs="Times New Roman"/>
                <w:color w:val="auto"/>
                <w:sz w:val="18"/>
                <w:szCs w:val="18"/>
              </w:rPr>
            </w:pPr>
          </w:p>
        </w:tc>
        <w:tc>
          <w:tcPr>
            <w:tcW w:w="1564" w:type="dxa"/>
            <w:noWrap/>
            <w:vAlign w:val="center"/>
          </w:tcPr>
          <w:p>
            <w:pPr>
              <w:widowControl/>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89" w:type="dxa"/>
            <w:noWrap/>
            <w:vAlign w:val="center"/>
          </w:tcPr>
          <w:p>
            <w:pPr>
              <w:widowControl/>
              <w:snapToGrid w:val="0"/>
              <w:jc w:val="center"/>
              <w:rPr>
                <w:rFonts w:ascii="Times New Roman" w:hAnsi="Times New Roman" w:cs="Times New Roman"/>
                <w:color w:val="auto"/>
                <w:sz w:val="18"/>
                <w:szCs w:val="18"/>
              </w:rPr>
            </w:pPr>
          </w:p>
        </w:tc>
        <w:tc>
          <w:tcPr>
            <w:tcW w:w="998" w:type="dxa"/>
            <w:gridSpan w:val="2"/>
            <w:noWrap/>
            <w:vAlign w:val="center"/>
          </w:tcPr>
          <w:p>
            <w:pPr>
              <w:widowControl/>
              <w:snapToGrid w:val="0"/>
              <w:jc w:val="center"/>
              <w:rPr>
                <w:rFonts w:ascii="Times New Roman" w:hAnsi="Times New Roman" w:cs="Times New Roman"/>
                <w:color w:val="auto"/>
                <w:sz w:val="18"/>
                <w:szCs w:val="18"/>
              </w:rPr>
            </w:pPr>
          </w:p>
        </w:tc>
        <w:tc>
          <w:tcPr>
            <w:tcW w:w="1099" w:type="dxa"/>
            <w:noWrap/>
            <w:vAlign w:val="center"/>
          </w:tcPr>
          <w:p>
            <w:pPr>
              <w:widowControl/>
              <w:snapToGrid w:val="0"/>
              <w:jc w:val="center"/>
              <w:rPr>
                <w:rFonts w:ascii="Times New Roman" w:hAnsi="Times New Roman" w:cs="Times New Roman"/>
                <w:color w:val="auto"/>
                <w:sz w:val="18"/>
                <w:szCs w:val="18"/>
              </w:rPr>
            </w:pPr>
          </w:p>
        </w:tc>
        <w:tc>
          <w:tcPr>
            <w:tcW w:w="973" w:type="dxa"/>
            <w:noWrap/>
            <w:vAlign w:val="center"/>
          </w:tcPr>
          <w:p>
            <w:pPr>
              <w:widowControl/>
              <w:snapToGrid w:val="0"/>
              <w:jc w:val="center"/>
              <w:rPr>
                <w:rFonts w:ascii="Times New Roman" w:hAnsi="Times New Roman" w:cs="Times New Roman"/>
                <w:color w:val="auto"/>
                <w:sz w:val="18"/>
                <w:szCs w:val="18"/>
              </w:rPr>
            </w:pPr>
          </w:p>
        </w:tc>
        <w:tc>
          <w:tcPr>
            <w:tcW w:w="1817" w:type="dxa"/>
            <w:noWrap/>
            <w:vAlign w:val="center"/>
          </w:tcPr>
          <w:p>
            <w:pPr>
              <w:widowControl/>
              <w:snapToGrid w:val="0"/>
              <w:jc w:val="center"/>
              <w:rPr>
                <w:rFonts w:ascii="Times New Roman" w:hAnsi="Times New Roman" w:cs="Times New Roman"/>
                <w:color w:val="auto"/>
                <w:sz w:val="18"/>
                <w:szCs w:val="18"/>
              </w:rPr>
            </w:pPr>
          </w:p>
        </w:tc>
        <w:tc>
          <w:tcPr>
            <w:tcW w:w="1334" w:type="dxa"/>
            <w:noWrap/>
            <w:vAlign w:val="center"/>
          </w:tcPr>
          <w:p>
            <w:pPr>
              <w:widowControl/>
              <w:snapToGrid w:val="0"/>
              <w:jc w:val="center"/>
              <w:rPr>
                <w:rFonts w:ascii="Times New Roman" w:hAnsi="Times New Roman" w:cs="Times New Roman"/>
                <w:color w:val="auto"/>
                <w:sz w:val="18"/>
                <w:szCs w:val="18"/>
              </w:rPr>
            </w:pPr>
          </w:p>
        </w:tc>
        <w:tc>
          <w:tcPr>
            <w:tcW w:w="1564" w:type="dxa"/>
            <w:noWrap/>
            <w:vAlign w:val="center"/>
          </w:tcPr>
          <w:p>
            <w:pPr>
              <w:widowControl/>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89" w:type="dxa"/>
            <w:noWrap/>
            <w:vAlign w:val="center"/>
          </w:tcPr>
          <w:p>
            <w:pPr>
              <w:widowControl/>
              <w:snapToGrid w:val="0"/>
              <w:jc w:val="center"/>
              <w:rPr>
                <w:rFonts w:ascii="Times New Roman" w:hAnsi="Times New Roman" w:cs="Times New Roman"/>
                <w:color w:val="auto"/>
                <w:sz w:val="18"/>
                <w:szCs w:val="18"/>
              </w:rPr>
            </w:pPr>
          </w:p>
        </w:tc>
        <w:tc>
          <w:tcPr>
            <w:tcW w:w="998" w:type="dxa"/>
            <w:gridSpan w:val="2"/>
            <w:noWrap/>
            <w:vAlign w:val="center"/>
          </w:tcPr>
          <w:p>
            <w:pPr>
              <w:widowControl/>
              <w:snapToGrid w:val="0"/>
              <w:jc w:val="center"/>
              <w:rPr>
                <w:rFonts w:ascii="Times New Roman" w:hAnsi="Times New Roman" w:cs="Times New Roman"/>
                <w:color w:val="auto"/>
                <w:sz w:val="18"/>
                <w:szCs w:val="18"/>
              </w:rPr>
            </w:pPr>
          </w:p>
        </w:tc>
        <w:tc>
          <w:tcPr>
            <w:tcW w:w="1099" w:type="dxa"/>
            <w:noWrap/>
            <w:vAlign w:val="center"/>
          </w:tcPr>
          <w:p>
            <w:pPr>
              <w:widowControl/>
              <w:snapToGrid w:val="0"/>
              <w:jc w:val="center"/>
              <w:rPr>
                <w:rFonts w:ascii="Times New Roman" w:hAnsi="Times New Roman" w:cs="Times New Roman"/>
                <w:color w:val="auto"/>
                <w:sz w:val="18"/>
                <w:szCs w:val="18"/>
              </w:rPr>
            </w:pPr>
          </w:p>
        </w:tc>
        <w:tc>
          <w:tcPr>
            <w:tcW w:w="973" w:type="dxa"/>
            <w:noWrap/>
            <w:vAlign w:val="center"/>
          </w:tcPr>
          <w:p>
            <w:pPr>
              <w:widowControl/>
              <w:snapToGrid w:val="0"/>
              <w:jc w:val="center"/>
              <w:rPr>
                <w:rFonts w:ascii="Times New Roman" w:hAnsi="Times New Roman" w:cs="Times New Roman"/>
                <w:color w:val="auto"/>
                <w:sz w:val="18"/>
                <w:szCs w:val="18"/>
              </w:rPr>
            </w:pPr>
          </w:p>
        </w:tc>
        <w:tc>
          <w:tcPr>
            <w:tcW w:w="1817" w:type="dxa"/>
            <w:noWrap/>
            <w:vAlign w:val="center"/>
          </w:tcPr>
          <w:p>
            <w:pPr>
              <w:widowControl/>
              <w:snapToGrid w:val="0"/>
              <w:jc w:val="center"/>
              <w:rPr>
                <w:rFonts w:ascii="Times New Roman" w:hAnsi="Times New Roman" w:cs="Times New Roman"/>
                <w:color w:val="auto"/>
                <w:sz w:val="18"/>
                <w:szCs w:val="18"/>
              </w:rPr>
            </w:pPr>
          </w:p>
        </w:tc>
        <w:tc>
          <w:tcPr>
            <w:tcW w:w="1334" w:type="dxa"/>
            <w:noWrap/>
            <w:vAlign w:val="center"/>
          </w:tcPr>
          <w:p>
            <w:pPr>
              <w:widowControl/>
              <w:snapToGrid w:val="0"/>
              <w:jc w:val="center"/>
              <w:rPr>
                <w:rFonts w:ascii="Times New Roman" w:hAnsi="Times New Roman" w:cs="Times New Roman"/>
                <w:color w:val="auto"/>
                <w:sz w:val="18"/>
                <w:szCs w:val="18"/>
              </w:rPr>
            </w:pPr>
          </w:p>
        </w:tc>
        <w:tc>
          <w:tcPr>
            <w:tcW w:w="1564" w:type="dxa"/>
            <w:noWrap/>
            <w:vAlign w:val="center"/>
          </w:tcPr>
          <w:p>
            <w:pPr>
              <w:widowControl/>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1389" w:type="dxa"/>
            <w:noWrap/>
            <w:vAlign w:val="center"/>
          </w:tcPr>
          <w:p>
            <w:pPr>
              <w:widowControl/>
              <w:snapToGrid w:val="0"/>
              <w:jc w:val="center"/>
              <w:rPr>
                <w:rFonts w:ascii="Times New Roman" w:hAnsi="Times New Roman" w:cs="Times New Roman"/>
                <w:color w:val="auto"/>
                <w:sz w:val="18"/>
                <w:szCs w:val="18"/>
              </w:rPr>
            </w:pPr>
          </w:p>
        </w:tc>
        <w:tc>
          <w:tcPr>
            <w:tcW w:w="998" w:type="dxa"/>
            <w:gridSpan w:val="2"/>
            <w:noWrap/>
            <w:vAlign w:val="center"/>
          </w:tcPr>
          <w:p>
            <w:pPr>
              <w:widowControl/>
              <w:snapToGrid w:val="0"/>
              <w:jc w:val="center"/>
              <w:rPr>
                <w:rFonts w:ascii="Times New Roman" w:hAnsi="Times New Roman" w:cs="Times New Roman"/>
                <w:color w:val="auto"/>
                <w:sz w:val="18"/>
                <w:szCs w:val="18"/>
              </w:rPr>
            </w:pPr>
          </w:p>
        </w:tc>
        <w:tc>
          <w:tcPr>
            <w:tcW w:w="1099" w:type="dxa"/>
            <w:noWrap/>
            <w:vAlign w:val="center"/>
          </w:tcPr>
          <w:p>
            <w:pPr>
              <w:widowControl/>
              <w:snapToGrid w:val="0"/>
              <w:jc w:val="center"/>
              <w:rPr>
                <w:rFonts w:ascii="Times New Roman" w:hAnsi="Times New Roman" w:cs="Times New Roman"/>
                <w:color w:val="auto"/>
                <w:sz w:val="18"/>
                <w:szCs w:val="18"/>
              </w:rPr>
            </w:pPr>
          </w:p>
        </w:tc>
        <w:tc>
          <w:tcPr>
            <w:tcW w:w="973" w:type="dxa"/>
            <w:noWrap/>
            <w:vAlign w:val="center"/>
          </w:tcPr>
          <w:p>
            <w:pPr>
              <w:widowControl/>
              <w:snapToGrid w:val="0"/>
              <w:jc w:val="center"/>
              <w:rPr>
                <w:rFonts w:ascii="Times New Roman" w:hAnsi="Times New Roman" w:cs="Times New Roman"/>
                <w:color w:val="auto"/>
                <w:sz w:val="18"/>
                <w:szCs w:val="18"/>
              </w:rPr>
            </w:pPr>
          </w:p>
        </w:tc>
        <w:tc>
          <w:tcPr>
            <w:tcW w:w="1817" w:type="dxa"/>
            <w:noWrap/>
            <w:vAlign w:val="center"/>
          </w:tcPr>
          <w:p>
            <w:pPr>
              <w:widowControl/>
              <w:snapToGrid w:val="0"/>
              <w:jc w:val="center"/>
              <w:rPr>
                <w:rFonts w:ascii="Times New Roman" w:hAnsi="Times New Roman" w:cs="Times New Roman"/>
                <w:color w:val="auto"/>
                <w:sz w:val="18"/>
                <w:szCs w:val="18"/>
              </w:rPr>
            </w:pPr>
          </w:p>
        </w:tc>
        <w:tc>
          <w:tcPr>
            <w:tcW w:w="1334" w:type="dxa"/>
            <w:noWrap/>
            <w:vAlign w:val="center"/>
          </w:tcPr>
          <w:p>
            <w:pPr>
              <w:widowControl/>
              <w:snapToGrid w:val="0"/>
              <w:jc w:val="center"/>
              <w:rPr>
                <w:rFonts w:ascii="Times New Roman" w:hAnsi="Times New Roman" w:cs="Times New Roman"/>
                <w:color w:val="auto"/>
                <w:sz w:val="18"/>
                <w:szCs w:val="18"/>
              </w:rPr>
            </w:pPr>
          </w:p>
        </w:tc>
        <w:tc>
          <w:tcPr>
            <w:tcW w:w="1564" w:type="dxa"/>
            <w:noWrap/>
            <w:vAlign w:val="center"/>
          </w:tcPr>
          <w:p>
            <w:pPr>
              <w:widowControl/>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37" w:hRule="atLeast"/>
        </w:trPr>
        <w:tc>
          <w:tcPr>
            <w:tcW w:w="9174" w:type="dxa"/>
            <w:gridSpan w:val="8"/>
            <w:noWrap/>
            <w:vAlign w:val="center"/>
          </w:tcPr>
          <w:p>
            <w:pPr>
              <w:widowControl/>
              <w:snapToGrid w:val="0"/>
              <w:spacing w:line="360" w:lineRule="auto"/>
              <w:rPr>
                <w:rFonts w:ascii="Times New Roman" w:hAnsi="Times New Roman" w:cs="Times New Roman"/>
                <w:color w:val="auto"/>
                <w:sz w:val="18"/>
                <w:szCs w:val="18"/>
                <w:u w:val="single"/>
              </w:rPr>
            </w:pPr>
            <w:r>
              <w:rPr>
                <w:rFonts w:ascii="Times New Roman" w:hAnsi="宋体" w:eastAsia="宋体" w:cs="Times New Roman"/>
                <w:color w:val="auto"/>
                <w:sz w:val="18"/>
                <w:szCs w:val="18"/>
              </w:rPr>
              <w:t>本次排查涉及的设备编号：</w:t>
            </w:r>
          </w:p>
          <w:p>
            <w:pPr>
              <w:widowControl/>
              <w:snapToGrid w:val="0"/>
              <w:spacing w:line="360" w:lineRule="auto"/>
              <w:ind w:firstLine="360" w:firstLineChars="200"/>
              <w:rPr>
                <w:rFonts w:ascii="Times New Roman" w:hAnsi="Times New Roman" w:cs="Times New Roman"/>
                <w:color w:val="auto"/>
                <w:sz w:val="18"/>
                <w:szCs w:val="18"/>
              </w:rPr>
            </w:pPr>
            <w:r>
              <w:rPr>
                <w:rFonts w:ascii="Times New Roman" w:hAnsi="宋体" w:eastAsia="宋体" w:cs="Times New Roman"/>
                <w:color w:val="auto"/>
                <w:sz w:val="18"/>
                <w:szCs w:val="18"/>
              </w:rPr>
              <w:t>上述项目的排查工作，已经按特种设备法规、规范、标准的要求完成。</w:t>
            </w:r>
          </w:p>
          <w:p>
            <w:pPr>
              <w:widowControl/>
              <w:snapToGrid w:val="0"/>
              <w:spacing w:line="360" w:lineRule="auto"/>
              <w:jc w:val="left"/>
              <w:rPr>
                <w:rFonts w:ascii="Times New Roman" w:hAnsi="Times New Roman" w:cs="Times New Roman"/>
                <w:color w:val="auto"/>
                <w:sz w:val="18"/>
                <w:szCs w:val="18"/>
              </w:rPr>
            </w:pPr>
            <w:r>
              <w:rPr>
                <w:rFonts w:ascii="Times New Roman" w:hAnsi="宋体" w:eastAsia="宋体" w:cs="Times New Roman"/>
                <w:color w:val="auto"/>
                <w:sz w:val="18"/>
                <w:szCs w:val="18"/>
              </w:rPr>
              <w:t>隐患排查责任人</w:t>
            </w:r>
            <w:r>
              <w:rPr>
                <w:rFonts w:ascii="Times New Roman" w:hAnsi="Times New Roman" w:eastAsia="宋体" w:cs="Times New Roman"/>
                <w:color w:val="auto"/>
                <w:sz w:val="18"/>
                <w:szCs w:val="18"/>
              </w:rPr>
              <w:t>(</w:t>
            </w:r>
            <w:r>
              <w:rPr>
                <w:rFonts w:ascii="Times New Roman" w:hAnsi="宋体" w:eastAsia="宋体" w:cs="Times New Roman"/>
                <w:color w:val="auto"/>
                <w:sz w:val="18"/>
                <w:szCs w:val="18"/>
              </w:rPr>
              <w:t>签字</w:t>
            </w:r>
            <w:r>
              <w:rPr>
                <w:rFonts w:ascii="Times New Roman" w:hAnsi="Times New Roman" w:eastAsia="宋体" w:cs="Times New Roman"/>
                <w:color w:val="auto"/>
                <w:sz w:val="18"/>
                <w:szCs w:val="18"/>
              </w:rPr>
              <w:t xml:space="preserve">)                                                              </w:t>
            </w:r>
            <w:r>
              <w:rPr>
                <w:rFonts w:ascii="Times New Roman" w:hAnsi="宋体" w:eastAsia="宋体" w:cs="Times New Roman"/>
                <w:color w:val="auto"/>
                <w:sz w:val="18"/>
                <w:szCs w:val="18"/>
              </w:rPr>
              <w:t>年</w:t>
            </w:r>
            <w:r>
              <w:rPr>
                <w:rFonts w:ascii="Times New Roman" w:hAnsi="Times New Roman" w:eastAsia="宋体" w:cs="Times New Roman"/>
                <w:color w:val="auto"/>
                <w:sz w:val="18"/>
                <w:szCs w:val="18"/>
              </w:rPr>
              <w:t xml:space="preserve">     </w:t>
            </w:r>
            <w:r>
              <w:rPr>
                <w:rFonts w:ascii="Times New Roman" w:hAnsi="宋体" w:eastAsia="宋体" w:cs="Times New Roman"/>
                <w:color w:val="auto"/>
                <w:sz w:val="18"/>
                <w:szCs w:val="18"/>
              </w:rPr>
              <w:t>月</w:t>
            </w:r>
            <w:r>
              <w:rPr>
                <w:rFonts w:ascii="Times New Roman" w:hAnsi="Times New Roman" w:eastAsia="宋体" w:cs="Times New Roman"/>
                <w:color w:val="auto"/>
                <w:sz w:val="18"/>
                <w:szCs w:val="18"/>
              </w:rPr>
              <w:t xml:space="preserve">    </w:t>
            </w:r>
            <w:r>
              <w:rPr>
                <w:rFonts w:ascii="Times New Roman" w:hAnsi="宋体" w:eastAsia="宋体" w:cs="Times New Roman"/>
                <w:color w:val="auto"/>
                <w:sz w:val="18"/>
                <w:szCs w:val="18"/>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5" w:hRule="atLeast"/>
        </w:trPr>
        <w:tc>
          <w:tcPr>
            <w:tcW w:w="1527" w:type="dxa"/>
            <w:gridSpan w:val="2"/>
            <w:noWrap/>
            <w:vAlign w:val="center"/>
          </w:tcPr>
          <w:p>
            <w:pPr>
              <w:widowControl/>
              <w:snapToGrid w:val="0"/>
              <w:rPr>
                <w:rFonts w:ascii="Times New Roman" w:hAnsi="Times New Roman" w:cs="Times New Roman"/>
                <w:color w:val="auto"/>
                <w:sz w:val="18"/>
                <w:szCs w:val="18"/>
              </w:rPr>
            </w:pPr>
            <w:r>
              <w:rPr>
                <w:rFonts w:ascii="Times New Roman" w:hAnsi="宋体" w:eastAsia="宋体" w:cs="Times New Roman"/>
                <w:color w:val="auto"/>
                <w:sz w:val="18"/>
                <w:szCs w:val="18"/>
              </w:rPr>
              <w:t>备注</w:t>
            </w:r>
          </w:p>
        </w:tc>
        <w:tc>
          <w:tcPr>
            <w:tcW w:w="7647" w:type="dxa"/>
            <w:gridSpan w:val="6"/>
            <w:noWrap/>
            <w:vAlign w:val="center"/>
          </w:tcPr>
          <w:p>
            <w:pPr>
              <w:widowControl/>
              <w:snapToGrid w:val="0"/>
              <w:rPr>
                <w:rFonts w:ascii="Times New Roman" w:hAnsi="Times New Roman" w:cs="Times New Roman"/>
                <w:color w:val="auto"/>
                <w:sz w:val="18"/>
                <w:szCs w:val="18"/>
              </w:rPr>
            </w:pPr>
          </w:p>
        </w:tc>
      </w:tr>
    </w:tbl>
    <w:p>
      <w:pPr>
        <w:snapToGrid w:val="0"/>
        <w:rPr>
          <w:rFonts w:ascii="Times New Roman" w:hAnsi="Times New Roman" w:cs="Times New Roman"/>
          <w:color w:val="auto"/>
          <w:sz w:val="18"/>
          <w:szCs w:val="18"/>
        </w:rPr>
      </w:pPr>
      <w:r>
        <w:rPr>
          <w:rFonts w:ascii="Times New Roman" w:hAnsi="宋体" w:eastAsia="宋体" w:cs="Times New Roman"/>
          <w:color w:val="auto"/>
          <w:sz w:val="18"/>
          <w:szCs w:val="18"/>
        </w:rPr>
        <w:t>注：</w:t>
      </w:r>
      <w:r>
        <w:rPr>
          <w:rFonts w:ascii="Times New Roman" w:hAnsi="Times New Roman" w:cs="Times New Roman"/>
          <w:color w:val="auto"/>
          <w:sz w:val="18"/>
          <w:szCs w:val="18"/>
        </w:rPr>
        <w:t>1.</w:t>
      </w:r>
      <w:r>
        <w:rPr>
          <w:rFonts w:ascii="Times New Roman" w:hAnsi="宋体" w:eastAsia="宋体" w:cs="Times New Roman"/>
          <w:color w:val="auto"/>
          <w:sz w:val="18"/>
          <w:szCs w:val="18"/>
        </w:rPr>
        <w:t>不存在不符合项时，直接在隐患排查结果栏目中勾选符合。</w:t>
      </w:r>
    </w:p>
    <w:p>
      <w:pPr>
        <w:snapToGrid w:val="0"/>
        <w:rPr>
          <w:rFonts w:ascii="Times New Roman" w:hAnsi="Times New Roman" w:cs="Times New Roman"/>
          <w:color w:val="auto"/>
          <w:sz w:val="18"/>
          <w:szCs w:val="18"/>
        </w:rPr>
      </w:pPr>
      <w:r>
        <w:rPr>
          <w:rFonts w:ascii="Times New Roman" w:hAnsi="Times New Roman" w:cs="Times New Roman"/>
          <w:color w:val="auto"/>
          <w:sz w:val="18"/>
          <w:szCs w:val="18"/>
        </w:rPr>
        <w:t>2.</w:t>
      </w:r>
      <w:r>
        <w:rPr>
          <w:rFonts w:ascii="Times New Roman" w:hAnsi="宋体" w:eastAsia="宋体" w:cs="Times New Roman"/>
          <w:color w:val="auto"/>
          <w:sz w:val="18"/>
          <w:szCs w:val="18"/>
        </w:rPr>
        <w:t>存在不符合项时，不符合栏目内填写特种设备隐患排查治理记录编号。</w:t>
      </w:r>
    </w:p>
    <w:p>
      <w:pPr>
        <w:pStyle w:val="9"/>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br w:type="page"/>
      </w:r>
      <w:r>
        <w:rPr>
          <w:rFonts w:hint="eastAsia" w:ascii="方正小标宋简体" w:hAnsi="方正小标宋简体" w:eastAsia="方正小标宋简体" w:cs="方正小标宋简体"/>
          <w:b w:val="0"/>
          <w:bCs/>
          <w:color w:val="auto"/>
          <w:kern w:val="2"/>
          <w:sz w:val="32"/>
          <w:szCs w:val="32"/>
          <w:lang w:val="en-US" w:eastAsia="zh-CN" w:bidi="ar-SA"/>
        </w:rPr>
        <w:t>特种设备隐患治理记录表格式</w:t>
      </w:r>
    </w:p>
    <w:p>
      <w:pPr>
        <w:pStyle w:val="9"/>
        <w:snapToGrid w:val="0"/>
        <w:spacing w:line="240" w:lineRule="auto"/>
        <w:rPr>
          <w:rFonts w:ascii="Times New Roman" w:hAnsi="Times New Roman" w:cs="Times New Roman"/>
          <w:color w:val="auto"/>
          <w:sz w:val="18"/>
          <w:szCs w:val="18"/>
          <w:lang w:eastAsia="zh-CN"/>
        </w:rPr>
      </w:pPr>
    </w:p>
    <w:p>
      <w:pPr>
        <w:pStyle w:val="9"/>
        <w:snapToGrid w:val="0"/>
        <w:spacing w:line="240" w:lineRule="auto"/>
        <w:rPr>
          <w:rFonts w:ascii="Times New Roman" w:hAnsi="Times New Roman" w:cs="Times New Roman"/>
          <w:color w:val="auto"/>
          <w:sz w:val="18"/>
          <w:szCs w:val="18"/>
          <w:lang w:eastAsia="zh-CN"/>
        </w:rPr>
      </w:pPr>
      <w:r>
        <w:rPr>
          <w:rFonts w:ascii="Times New Roman" w:cs="Times New Roman"/>
          <w:color w:val="auto"/>
          <w:sz w:val="18"/>
          <w:szCs w:val="18"/>
          <w:lang w:eastAsia="zh-CN"/>
        </w:rPr>
        <w:t>文件编号：</w:t>
      </w:r>
      <w:r>
        <w:rPr>
          <w:rFonts w:ascii="Times New Roman" w:hAnsi="Times New Roman" w:cs="Times New Roman"/>
          <w:color w:val="auto"/>
          <w:sz w:val="18"/>
          <w:szCs w:val="18"/>
          <w:lang w:eastAsia="zh-CN"/>
        </w:rPr>
        <w:t xml:space="preserve">                                                                     </w:t>
      </w:r>
      <w:r>
        <w:rPr>
          <w:rFonts w:ascii="Times New Roman" w:cs="Times New Roman"/>
          <w:color w:val="auto"/>
          <w:sz w:val="18"/>
          <w:szCs w:val="18"/>
          <w:lang w:eastAsia="zh-CN"/>
        </w:rPr>
        <w:t>记录编号：</w:t>
      </w:r>
    </w:p>
    <w:p>
      <w:pPr>
        <w:pStyle w:val="9"/>
        <w:snapToGrid w:val="0"/>
        <w:spacing w:line="240" w:lineRule="auto"/>
        <w:jc w:val="right"/>
        <w:rPr>
          <w:rFonts w:ascii="Times New Roman" w:hAnsi="Times New Roman" w:cs="Times New Roman"/>
          <w:color w:val="auto"/>
          <w:sz w:val="18"/>
          <w:szCs w:val="18"/>
          <w:lang w:eastAsia="zh-CN"/>
        </w:rPr>
      </w:pPr>
      <w:r>
        <w:rPr>
          <w:rFonts w:ascii="Times New Roman" w:cs="Times New Roman"/>
          <w:color w:val="auto"/>
          <w:sz w:val="18"/>
          <w:szCs w:val="18"/>
          <w:lang w:eastAsia="zh-CN"/>
        </w:rPr>
        <w:t>第</w:t>
      </w:r>
      <w:r>
        <w:rPr>
          <w:rFonts w:ascii="Times New Roman" w:hAnsi="Times New Roman" w:cs="Times New Roman"/>
          <w:color w:val="auto"/>
          <w:sz w:val="18"/>
          <w:szCs w:val="18"/>
          <w:lang w:eastAsia="zh-CN"/>
        </w:rPr>
        <w:t xml:space="preserve">    </w:t>
      </w:r>
      <w:r>
        <w:rPr>
          <w:rFonts w:ascii="Times New Roman" w:cs="Times New Roman"/>
          <w:color w:val="auto"/>
          <w:sz w:val="18"/>
          <w:szCs w:val="18"/>
          <w:lang w:eastAsia="zh-CN"/>
        </w:rPr>
        <w:t>页</w:t>
      </w:r>
    </w:p>
    <w:p>
      <w:pPr>
        <w:pStyle w:val="9"/>
        <w:snapToGrid w:val="0"/>
        <w:spacing w:line="240" w:lineRule="auto"/>
        <w:rPr>
          <w:rFonts w:ascii="Times New Roman" w:hAnsi="Times New Roman" w:cs="Times New Roman"/>
          <w:color w:val="auto"/>
          <w:sz w:val="18"/>
          <w:szCs w:val="18"/>
          <w:lang w:eastAsia="zh-CN"/>
        </w:rPr>
      </w:pPr>
    </w:p>
    <w:tbl>
      <w:tblPr>
        <w:tblStyle w:val="8"/>
        <w:tblW w:w="96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787"/>
        <w:gridCol w:w="725"/>
        <w:gridCol w:w="3182"/>
        <w:gridCol w:w="1148"/>
        <w:gridCol w:w="28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17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排查部门</w:t>
            </w:r>
          </w:p>
        </w:tc>
        <w:tc>
          <w:tcPr>
            <w:tcW w:w="3907" w:type="dxa"/>
            <w:gridSpan w:val="2"/>
            <w:shd w:val="clear" w:color="auto" w:fill="FFFFFF"/>
            <w:noWrap/>
            <w:vAlign w:val="center"/>
          </w:tcPr>
          <w:p>
            <w:pPr>
              <w:snapToGrid w:val="0"/>
              <w:jc w:val="center"/>
              <w:rPr>
                <w:rFonts w:ascii="Times New Roman" w:hAnsi="Times New Roman" w:cs="Times New Roman"/>
                <w:color w:val="auto"/>
                <w:sz w:val="18"/>
                <w:szCs w:val="18"/>
              </w:rPr>
            </w:pPr>
          </w:p>
        </w:tc>
        <w:tc>
          <w:tcPr>
            <w:tcW w:w="114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隐患排查人</w:t>
            </w:r>
          </w:p>
        </w:tc>
        <w:tc>
          <w:tcPr>
            <w:tcW w:w="2838" w:type="dxa"/>
            <w:shd w:val="clear" w:color="auto" w:fill="FFFFFF"/>
            <w:noWrap/>
            <w:vAlign w:val="center"/>
          </w:tcPr>
          <w:p>
            <w:pPr>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17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排查日期</w:t>
            </w:r>
          </w:p>
        </w:tc>
        <w:tc>
          <w:tcPr>
            <w:tcW w:w="3907" w:type="dxa"/>
            <w:gridSpan w:val="2"/>
            <w:shd w:val="clear" w:color="auto" w:fill="FFFFFF"/>
            <w:noWrap/>
            <w:vAlign w:val="center"/>
          </w:tcPr>
          <w:p>
            <w:pPr>
              <w:pStyle w:val="10"/>
              <w:tabs>
                <w:tab w:val="left" w:pos="1114"/>
              </w:tabs>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    </w:t>
            </w:r>
            <w:r>
              <w:rPr>
                <w:rFonts w:ascii="Times New Roman" w:cs="Times New Roman"/>
                <w:color w:val="auto"/>
                <w:sz w:val="18"/>
                <w:szCs w:val="18"/>
              </w:rPr>
              <w:t>年</w:t>
            </w:r>
            <w:r>
              <w:rPr>
                <w:rFonts w:ascii="Times New Roman" w:hAnsi="Times New Roman" w:cs="Times New Roman"/>
                <w:color w:val="auto"/>
                <w:sz w:val="18"/>
                <w:szCs w:val="18"/>
              </w:rPr>
              <w:t xml:space="preserve"> </w:t>
            </w:r>
            <w:r>
              <w:rPr>
                <w:rFonts w:ascii="Times New Roman" w:hAnsi="Times New Roman" w:cs="Times New Roman"/>
                <w:color w:val="auto"/>
                <w:sz w:val="18"/>
                <w:szCs w:val="18"/>
                <w:lang w:eastAsia="zh-CN"/>
              </w:rPr>
              <w:t xml:space="preserve">   </w:t>
            </w:r>
            <w:r>
              <w:rPr>
                <w:rFonts w:ascii="Times New Roman" w:cs="Times New Roman"/>
                <w:color w:val="auto"/>
                <w:sz w:val="18"/>
                <w:szCs w:val="18"/>
              </w:rPr>
              <w:t>月</w:t>
            </w:r>
            <w:r>
              <w:rPr>
                <w:rFonts w:ascii="Times New Roman" w:hAnsi="Times New Roman" w:cs="Times New Roman"/>
                <w:color w:val="auto"/>
                <w:sz w:val="18"/>
                <w:szCs w:val="18"/>
                <w:lang w:eastAsia="zh-CN"/>
              </w:rPr>
              <w:t xml:space="preserve">    </w:t>
            </w:r>
            <w:r>
              <w:rPr>
                <w:rFonts w:ascii="Times New Roman" w:cs="Times New Roman"/>
                <w:color w:val="auto"/>
                <w:sz w:val="18"/>
                <w:szCs w:val="18"/>
              </w:rPr>
              <w:t>日</w:t>
            </w:r>
          </w:p>
        </w:tc>
        <w:tc>
          <w:tcPr>
            <w:tcW w:w="114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审查依据</w:t>
            </w:r>
          </w:p>
        </w:tc>
        <w:tc>
          <w:tcPr>
            <w:tcW w:w="2838" w:type="dxa"/>
            <w:shd w:val="clear" w:color="auto" w:fill="FFFFFF"/>
            <w:noWrap/>
            <w:vAlign w:val="center"/>
          </w:tcPr>
          <w:p>
            <w:pPr>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17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排查途径</w:t>
            </w:r>
          </w:p>
        </w:tc>
        <w:tc>
          <w:tcPr>
            <w:tcW w:w="3907" w:type="dxa"/>
            <w:gridSpan w:val="2"/>
            <w:shd w:val="clear" w:color="auto" w:fill="FFFFFF"/>
            <w:noWrap/>
            <w:vAlign w:val="center"/>
          </w:tcPr>
          <w:p>
            <w:pPr>
              <w:snapToGrid w:val="0"/>
              <w:jc w:val="center"/>
              <w:rPr>
                <w:rFonts w:ascii="Times New Roman" w:hAnsi="Times New Roman" w:cs="Times New Roman"/>
                <w:color w:val="auto"/>
                <w:sz w:val="18"/>
                <w:szCs w:val="18"/>
              </w:rPr>
            </w:pPr>
          </w:p>
        </w:tc>
        <w:tc>
          <w:tcPr>
            <w:tcW w:w="114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排查内容</w:t>
            </w:r>
          </w:p>
        </w:tc>
        <w:tc>
          <w:tcPr>
            <w:tcW w:w="2838" w:type="dxa"/>
            <w:shd w:val="clear" w:color="auto" w:fill="FFFFFF"/>
            <w:noWrap/>
            <w:vAlign w:val="center"/>
          </w:tcPr>
          <w:p>
            <w:pPr>
              <w:snapToGrid w:val="0"/>
              <w:jc w:val="center"/>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741" w:hRule="exact"/>
          <w:jc w:val="center"/>
        </w:trPr>
        <w:tc>
          <w:tcPr>
            <w:tcW w:w="17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不符合项描述</w:t>
            </w:r>
          </w:p>
        </w:tc>
        <w:tc>
          <w:tcPr>
            <w:tcW w:w="7893" w:type="dxa"/>
            <w:gridSpan w:val="4"/>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122" w:hRule="exact"/>
          <w:jc w:val="center"/>
        </w:trPr>
        <w:tc>
          <w:tcPr>
            <w:tcW w:w="17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隐患项目及分级分类</w:t>
            </w:r>
          </w:p>
        </w:tc>
        <w:tc>
          <w:tcPr>
            <w:tcW w:w="7893" w:type="dxa"/>
            <w:gridSpan w:val="4"/>
            <w:shd w:val="clear" w:color="auto" w:fill="FFFFFF"/>
            <w:noWrap/>
            <w:vAlign w:val="center"/>
          </w:tcPr>
          <w:p>
            <w:pPr>
              <w:pStyle w:val="10"/>
              <w:snapToGrid w:val="0"/>
              <w:spacing w:line="360" w:lineRule="auto"/>
              <w:rPr>
                <w:rFonts w:ascii="宋体" w:hAnsi="宋体" w:eastAsia="宋体" w:cs="Times New Roman"/>
                <w:color w:val="auto"/>
                <w:sz w:val="18"/>
                <w:szCs w:val="18"/>
              </w:rPr>
            </w:pPr>
            <w:r>
              <w:rPr>
                <w:rFonts w:ascii="宋体" w:hAnsi="宋体" w:eastAsia="宋体" w:cs="Times New Roman"/>
                <w:color w:val="auto"/>
                <w:sz w:val="18"/>
                <w:szCs w:val="18"/>
              </w:rPr>
              <w:t>□非特种设备隐患</w:t>
            </w:r>
          </w:p>
          <w:p>
            <w:pPr>
              <w:pStyle w:val="10"/>
              <w:tabs>
                <w:tab w:val="left" w:leader="underscore" w:pos="3768"/>
              </w:tabs>
              <w:snapToGrid w:val="0"/>
              <w:spacing w:line="360" w:lineRule="auto"/>
              <w:rPr>
                <w:rFonts w:ascii="宋体" w:hAnsi="宋体" w:eastAsia="宋体" w:cs="Times New Roman"/>
                <w:color w:val="auto"/>
                <w:sz w:val="18"/>
                <w:szCs w:val="18"/>
              </w:rPr>
            </w:pPr>
            <w:r>
              <w:rPr>
                <w:rFonts w:ascii="宋体" w:hAnsi="宋体" w:eastAsia="宋体" w:cs="Times New Roman"/>
                <w:color w:val="auto"/>
                <w:sz w:val="18"/>
                <w:szCs w:val="18"/>
              </w:rPr>
              <w:t>特种设备隐患标准项目或序号</w:t>
            </w:r>
            <w:r>
              <w:rPr>
                <w:rFonts w:ascii="宋体" w:hAnsi="宋体" w:eastAsia="宋体" w:cs="Times New Roman"/>
                <w:color w:val="auto"/>
                <w:sz w:val="18"/>
                <w:szCs w:val="18"/>
              </w:rPr>
              <w:tab/>
            </w:r>
          </w:p>
          <w:p>
            <w:pPr>
              <w:pStyle w:val="10"/>
              <w:snapToGrid w:val="0"/>
              <w:spacing w:line="360" w:lineRule="auto"/>
              <w:rPr>
                <w:rFonts w:ascii="宋体" w:hAnsi="宋体" w:eastAsia="宋体" w:cs="Times New Roman"/>
                <w:color w:val="auto"/>
                <w:sz w:val="18"/>
                <w:szCs w:val="18"/>
              </w:rPr>
            </w:pPr>
            <w:r>
              <w:rPr>
                <w:rFonts w:ascii="宋体" w:hAnsi="宋体" w:eastAsia="宋体" w:cs="Times New Roman"/>
                <w:color w:val="auto"/>
                <w:sz w:val="18"/>
                <w:szCs w:val="18"/>
              </w:rPr>
              <w:t>□严重隐患；□较大隐患</w:t>
            </w:r>
            <w:r>
              <w:rPr>
                <w:rFonts w:ascii="宋体" w:hAnsi="宋体" w:eastAsia="宋体" w:cs="Times New Roman"/>
                <w:color w:val="auto"/>
                <w:sz w:val="18"/>
                <w:szCs w:val="18"/>
                <w:lang w:val="en-US" w:eastAsia="zh-CN" w:bidi="en-US"/>
              </w:rPr>
              <w:t>；□</w:t>
            </w:r>
            <w:r>
              <w:rPr>
                <w:rFonts w:ascii="宋体" w:hAnsi="宋体" w:eastAsia="宋体" w:cs="Times New Roman"/>
                <w:color w:val="auto"/>
                <w:sz w:val="18"/>
                <w:szCs w:val="18"/>
              </w:rPr>
              <w:t>一般隐患</w:t>
            </w:r>
          </w:p>
          <w:p>
            <w:pPr>
              <w:pStyle w:val="10"/>
              <w:snapToGrid w:val="0"/>
              <w:spacing w:line="360" w:lineRule="auto"/>
              <w:rPr>
                <w:rFonts w:ascii="宋体" w:hAnsi="宋体" w:eastAsia="宋体" w:cs="Times New Roman"/>
                <w:color w:val="auto"/>
                <w:sz w:val="18"/>
                <w:szCs w:val="18"/>
              </w:rPr>
            </w:pPr>
            <w:r>
              <w:rPr>
                <w:rFonts w:ascii="宋体" w:hAnsi="宋体" w:eastAsia="宋体" w:cs="Times New Roman"/>
                <w:color w:val="auto"/>
                <w:sz w:val="18"/>
                <w:szCs w:val="18"/>
              </w:rPr>
              <w:t>□管理类</w:t>
            </w:r>
            <w:r>
              <w:rPr>
                <w:rFonts w:ascii="宋体" w:hAnsi="宋体" w:eastAsia="宋体" w:cs="Times New Roman"/>
                <w:color w:val="auto"/>
                <w:sz w:val="18"/>
                <w:szCs w:val="18"/>
                <w:lang w:val="en-US" w:eastAsia="zh-CN" w:bidi="en-US"/>
              </w:rPr>
              <w:t>；□</w:t>
            </w:r>
            <w:r>
              <w:rPr>
                <w:rFonts w:ascii="宋体" w:hAnsi="宋体" w:eastAsia="宋体" w:cs="Times New Roman"/>
                <w:color w:val="auto"/>
                <w:sz w:val="18"/>
                <w:szCs w:val="18"/>
              </w:rPr>
              <w:t>人员类</w:t>
            </w:r>
            <w:r>
              <w:rPr>
                <w:rFonts w:ascii="宋体" w:hAnsi="宋体" w:eastAsia="宋体" w:cs="Times New Roman"/>
                <w:color w:val="auto"/>
                <w:sz w:val="18"/>
                <w:szCs w:val="18"/>
                <w:lang w:val="en-US" w:eastAsia="zh-CN" w:bidi="en-US"/>
              </w:rPr>
              <w:t>；□</w:t>
            </w:r>
            <w:r>
              <w:rPr>
                <w:rFonts w:ascii="宋体" w:hAnsi="宋体" w:eastAsia="宋体" w:cs="Times New Roman"/>
                <w:color w:val="auto"/>
                <w:sz w:val="18"/>
                <w:szCs w:val="18"/>
              </w:rPr>
              <w:t>设备类</w:t>
            </w:r>
            <w:r>
              <w:rPr>
                <w:rFonts w:ascii="宋体" w:hAnsi="宋体" w:eastAsia="宋体" w:cs="Times New Roman"/>
                <w:color w:val="auto"/>
                <w:sz w:val="18"/>
                <w:szCs w:val="18"/>
                <w:lang w:val="en-US" w:eastAsia="zh-CN" w:bidi="en-US"/>
              </w:rPr>
              <w:t>；□</w:t>
            </w:r>
            <w:r>
              <w:rPr>
                <w:rFonts w:ascii="宋体" w:hAnsi="宋体" w:eastAsia="宋体" w:cs="Times New Roman"/>
                <w:color w:val="auto"/>
                <w:sz w:val="18"/>
                <w:szCs w:val="18"/>
              </w:rPr>
              <w:t>环境类</w:t>
            </w:r>
          </w:p>
          <w:p>
            <w:pPr>
              <w:pStyle w:val="10"/>
              <w:tabs>
                <w:tab w:val="left" w:leader="underscore" w:pos="3950"/>
              </w:tabs>
              <w:snapToGrid w:val="0"/>
              <w:spacing w:line="360" w:lineRule="auto"/>
              <w:rPr>
                <w:rFonts w:ascii="宋体" w:hAnsi="宋体" w:eastAsia="宋体" w:cs="Times New Roman"/>
                <w:color w:val="auto"/>
                <w:sz w:val="18"/>
                <w:szCs w:val="18"/>
              </w:rPr>
            </w:pPr>
            <w:r>
              <w:rPr>
                <w:rFonts w:ascii="宋体" w:hAnsi="宋体" w:eastAsia="宋体" w:cs="Times New Roman"/>
                <w:color w:val="auto"/>
                <w:sz w:val="18"/>
                <w:szCs w:val="18"/>
              </w:rPr>
              <w:t>治理部门(或责任人)</w:t>
            </w:r>
            <w:r>
              <w:rPr>
                <w:rFonts w:ascii="宋体" w:hAnsi="宋体" w:eastAsia="宋体" w:cs="Times New Roman"/>
                <w:color w:val="auto"/>
                <w:sz w:val="18"/>
                <w:szCs w:val="18"/>
              </w:rPr>
              <w:tab/>
            </w:r>
          </w:p>
          <w:p>
            <w:pPr>
              <w:pStyle w:val="10"/>
              <w:tabs>
                <w:tab w:val="left" w:pos="2659"/>
              </w:tabs>
              <w:snapToGrid w:val="0"/>
              <w:spacing w:line="360" w:lineRule="auto"/>
              <w:rPr>
                <w:rFonts w:ascii="Times New Roman" w:hAnsi="Times New Roman" w:cs="Times New Roman"/>
                <w:color w:val="auto"/>
                <w:sz w:val="18"/>
                <w:szCs w:val="18"/>
              </w:rPr>
            </w:pPr>
            <w:r>
              <w:rPr>
                <w:rFonts w:ascii="宋体" w:hAnsi="宋体" w:eastAsia="宋体" w:cs="Times New Roman"/>
                <w:color w:val="auto"/>
                <w:sz w:val="18"/>
                <w:szCs w:val="18"/>
              </w:rPr>
              <w:t>隐患排查责任人</w:t>
            </w:r>
            <w:r>
              <w:rPr>
                <w:rFonts w:ascii="宋体" w:hAnsi="宋体" w:eastAsia="宋体" w:cs="Times New Roman"/>
                <w:color w:val="auto"/>
                <w:sz w:val="18"/>
                <w:szCs w:val="18"/>
              </w:rPr>
              <w:tab/>
            </w:r>
            <w:r>
              <w:rPr>
                <w:rFonts w:ascii="Times New Roman" w:cs="Times New Roman"/>
                <w:color w:val="auto"/>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003" w:hRule="exact"/>
          <w:jc w:val="center"/>
        </w:trPr>
        <w:tc>
          <w:tcPr>
            <w:tcW w:w="17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隐患产生原因分析</w:t>
            </w:r>
          </w:p>
        </w:tc>
        <w:tc>
          <w:tcPr>
            <w:tcW w:w="7893" w:type="dxa"/>
            <w:gridSpan w:val="4"/>
            <w:shd w:val="clear" w:color="auto" w:fill="FFFFFF"/>
            <w:noWrap/>
            <w:vAlign w:val="bottom"/>
          </w:tcPr>
          <w:p>
            <w:pPr>
              <w:pStyle w:val="10"/>
              <w:tabs>
                <w:tab w:val="left" w:pos="2194"/>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责任人</w:t>
            </w:r>
            <w:r>
              <w:rPr>
                <w:rFonts w:ascii="Times New Roman" w:hAnsi="Times New Roman" w:cs="Times New Roman"/>
                <w:color w:val="auto"/>
                <w:sz w:val="18"/>
                <w:szCs w:val="18"/>
              </w:rPr>
              <w:tab/>
            </w:r>
            <w:r>
              <w:rPr>
                <w:rFonts w:ascii="Times New Roman" w:cs="Times New Roman"/>
                <w:color w:val="auto"/>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89" w:hRule="exact"/>
          <w:jc w:val="center"/>
        </w:trPr>
        <w:tc>
          <w:tcPr>
            <w:tcW w:w="17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隐患防护整改措施</w:t>
            </w:r>
          </w:p>
        </w:tc>
        <w:tc>
          <w:tcPr>
            <w:tcW w:w="7893" w:type="dxa"/>
            <w:gridSpan w:val="4"/>
            <w:shd w:val="clear" w:color="auto" w:fill="FFFFFF"/>
            <w:noWrap/>
            <w:vAlign w:val="bottom"/>
          </w:tcPr>
          <w:p>
            <w:pPr>
              <w:pStyle w:val="10"/>
              <w:tabs>
                <w:tab w:val="left" w:pos="2194"/>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责任人</w:t>
            </w:r>
            <w:r>
              <w:rPr>
                <w:rFonts w:ascii="Times New Roman" w:hAnsi="Times New Roman" w:cs="Times New Roman"/>
                <w:color w:val="auto"/>
                <w:sz w:val="18"/>
                <w:szCs w:val="18"/>
              </w:rPr>
              <w:tab/>
            </w:r>
            <w:r>
              <w:rPr>
                <w:rFonts w:ascii="Times New Roman" w:cs="Times New Roman"/>
                <w:color w:val="auto"/>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25" w:hRule="exact"/>
          <w:jc w:val="center"/>
        </w:trPr>
        <w:tc>
          <w:tcPr>
            <w:tcW w:w="1787"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隐患整改情况</w:t>
            </w:r>
          </w:p>
        </w:tc>
        <w:tc>
          <w:tcPr>
            <w:tcW w:w="72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整改方</w:t>
            </w:r>
          </w:p>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案编号</w:t>
            </w:r>
          </w:p>
        </w:tc>
        <w:tc>
          <w:tcPr>
            <w:tcW w:w="3182" w:type="dxa"/>
            <w:shd w:val="clear" w:color="auto" w:fill="FFFFFF"/>
            <w:noWrap/>
            <w:vAlign w:val="center"/>
          </w:tcPr>
          <w:p>
            <w:pPr>
              <w:snapToGrid w:val="0"/>
              <w:jc w:val="center"/>
              <w:rPr>
                <w:rFonts w:ascii="Times New Roman" w:hAnsi="Times New Roman" w:cs="Times New Roman"/>
                <w:color w:val="auto"/>
                <w:sz w:val="18"/>
                <w:szCs w:val="18"/>
              </w:rPr>
            </w:pPr>
          </w:p>
        </w:tc>
        <w:tc>
          <w:tcPr>
            <w:tcW w:w="3986" w:type="dxa"/>
            <w:gridSpan w:val="2"/>
            <w:vMerge w:val="restart"/>
            <w:shd w:val="clear" w:color="auto" w:fill="FFFFFF"/>
            <w:noWrap/>
            <w:vAlign w:val="center"/>
          </w:tcPr>
          <w:p>
            <w:pPr>
              <w:pStyle w:val="10"/>
              <w:snapToGrid w:val="0"/>
              <w:spacing w:line="480" w:lineRule="auto"/>
              <w:rPr>
                <w:rFonts w:ascii="Times New Roman" w:hAnsi="Times New Roman" w:cs="Times New Roman"/>
                <w:color w:val="auto"/>
                <w:sz w:val="18"/>
                <w:szCs w:val="18"/>
              </w:rPr>
            </w:pPr>
            <w:r>
              <w:rPr>
                <w:rFonts w:ascii="Times New Roman" w:cs="Times New Roman"/>
                <w:color w:val="auto"/>
                <w:sz w:val="18"/>
                <w:szCs w:val="18"/>
              </w:rPr>
              <w:t>说明：</w:t>
            </w:r>
          </w:p>
          <w:p>
            <w:pPr>
              <w:pStyle w:val="10"/>
              <w:tabs>
                <w:tab w:val="left" w:pos="1834"/>
              </w:tabs>
              <w:snapToGrid w:val="0"/>
              <w:spacing w:line="480" w:lineRule="auto"/>
              <w:rPr>
                <w:rFonts w:ascii="Times New Roman" w:hAnsi="Times New Roman" w:cs="Times New Roman"/>
                <w:color w:val="auto"/>
                <w:sz w:val="18"/>
                <w:szCs w:val="18"/>
              </w:rPr>
            </w:pPr>
            <w:r>
              <w:rPr>
                <w:rFonts w:ascii="Times New Roman" w:cs="Times New Roman"/>
                <w:color w:val="auto"/>
                <w:sz w:val="18"/>
                <w:szCs w:val="18"/>
              </w:rPr>
              <w:t>责任人</w:t>
            </w:r>
            <w:r>
              <w:rPr>
                <w:rFonts w:ascii="Times New Roman" w:hAnsi="Times New Roman" w:cs="Times New Roman"/>
                <w:color w:val="auto"/>
                <w:sz w:val="18"/>
                <w:szCs w:val="18"/>
              </w:rPr>
              <w:tab/>
            </w:r>
            <w:r>
              <w:rPr>
                <w:rFonts w:ascii="Times New Roman" w:cs="Times New Roman"/>
                <w:color w:val="auto"/>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20" w:hRule="exact"/>
          <w:jc w:val="center"/>
        </w:trPr>
        <w:tc>
          <w:tcPr>
            <w:tcW w:w="1787"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72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整改记</w:t>
            </w:r>
            <w:r>
              <w:rPr>
                <w:rFonts w:ascii="Times New Roman" w:hAnsi="Times New Roman" w:cs="Times New Roman"/>
                <w:color w:val="auto"/>
                <w:sz w:val="18"/>
                <w:szCs w:val="18"/>
              </w:rPr>
              <w:t xml:space="preserve"> </w:t>
            </w:r>
            <w:r>
              <w:rPr>
                <w:rFonts w:ascii="Times New Roman" w:cs="Times New Roman"/>
                <w:color w:val="auto"/>
                <w:sz w:val="18"/>
                <w:szCs w:val="18"/>
              </w:rPr>
              <w:t>录编号</w:t>
            </w:r>
          </w:p>
        </w:tc>
        <w:tc>
          <w:tcPr>
            <w:tcW w:w="3182" w:type="dxa"/>
            <w:shd w:val="clear" w:color="auto" w:fill="FFFFFF"/>
            <w:noWrap/>
            <w:vAlign w:val="center"/>
          </w:tcPr>
          <w:p>
            <w:pPr>
              <w:snapToGrid w:val="0"/>
              <w:jc w:val="center"/>
              <w:rPr>
                <w:rFonts w:ascii="Times New Roman" w:hAnsi="Times New Roman" w:cs="Times New Roman"/>
                <w:color w:val="auto"/>
                <w:sz w:val="18"/>
                <w:szCs w:val="18"/>
              </w:rPr>
            </w:pPr>
          </w:p>
        </w:tc>
        <w:tc>
          <w:tcPr>
            <w:tcW w:w="3986" w:type="dxa"/>
            <w:gridSpan w:val="2"/>
            <w:vMerge w:val="continue"/>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27" w:hRule="exact"/>
          <w:jc w:val="center"/>
        </w:trPr>
        <w:tc>
          <w:tcPr>
            <w:tcW w:w="17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隐患上报要求</w:t>
            </w:r>
          </w:p>
        </w:tc>
        <w:tc>
          <w:tcPr>
            <w:tcW w:w="7893" w:type="dxa"/>
            <w:gridSpan w:val="4"/>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94" w:hRule="exact"/>
          <w:jc w:val="center"/>
        </w:trPr>
        <w:tc>
          <w:tcPr>
            <w:tcW w:w="17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隐患治理结果</w:t>
            </w:r>
          </w:p>
        </w:tc>
        <w:tc>
          <w:tcPr>
            <w:tcW w:w="7893" w:type="dxa"/>
            <w:gridSpan w:val="4"/>
            <w:shd w:val="clear" w:color="auto" w:fill="FFFFFF"/>
            <w:noWrap/>
            <w:vAlign w:val="center"/>
          </w:tcPr>
          <w:p>
            <w:pPr>
              <w:pStyle w:val="10"/>
              <w:snapToGrid w:val="0"/>
              <w:spacing w:line="360" w:lineRule="auto"/>
              <w:rPr>
                <w:rFonts w:ascii="Times New Roman" w:hAnsi="Times New Roman" w:cs="Times New Roman"/>
                <w:color w:val="auto"/>
                <w:sz w:val="18"/>
                <w:szCs w:val="18"/>
              </w:rPr>
            </w:pPr>
            <w:r>
              <w:rPr>
                <w:rFonts w:ascii="Times New Roman" w:cs="Times New Roman"/>
                <w:color w:val="auto"/>
                <w:sz w:val="18"/>
                <w:szCs w:val="18"/>
              </w:rPr>
              <w:t>口整改后符合要求</w:t>
            </w:r>
          </w:p>
          <w:p>
            <w:pPr>
              <w:pStyle w:val="10"/>
              <w:tabs>
                <w:tab w:val="left" w:leader="underscore" w:pos="3446"/>
              </w:tabs>
              <w:snapToGrid w:val="0"/>
              <w:spacing w:line="36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cs="Times New Roman"/>
                <w:color w:val="auto"/>
                <w:sz w:val="18"/>
                <w:szCs w:val="18"/>
              </w:rPr>
              <w:t>须采</w:t>
            </w:r>
            <w:r>
              <w:rPr>
                <w:rFonts w:ascii="Times New Roman" w:cs="Times New Roman"/>
                <w:color w:val="auto"/>
                <w:sz w:val="18"/>
                <w:szCs w:val="18"/>
                <w:lang w:val="zh-CN" w:eastAsia="zh-CN" w:bidi="zh-CN"/>
              </w:rPr>
              <w:t>取进一</w:t>
            </w:r>
            <w:r>
              <w:rPr>
                <w:rFonts w:ascii="Times New Roman" w:cs="Times New Roman"/>
                <w:color w:val="auto"/>
                <w:sz w:val="18"/>
                <w:szCs w:val="18"/>
              </w:rPr>
              <w:t>步措施</w:t>
            </w:r>
            <w:r>
              <w:rPr>
                <w:rFonts w:ascii="Times New Roman" w:hAnsi="Times New Roman" w:cs="Times New Roman"/>
                <w:color w:val="auto"/>
                <w:sz w:val="18"/>
                <w:szCs w:val="18"/>
              </w:rPr>
              <w:tab/>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37" w:hRule="exact"/>
          <w:jc w:val="center"/>
        </w:trPr>
        <w:tc>
          <w:tcPr>
            <w:tcW w:w="9680" w:type="dxa"/>
            <w:gridSpan w:val="5"/>
            <w:shd w:val="clear" w:color="auto" w:fill="FFFFFF"/>
            <w:noWrap/>
            <w:vAlign w:val="center"/>
          </w:tcPr>
          <w:p>
            <w:pPr>
              <w:pStyle w:val="10"/>
              <w:tabs>
                <w:tab w:val="left" w:pos="3240"/>
              </w:tabs>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隐患排查责任人</w:t>
            </w:r>
            <w:r>
              <w:rPr>
                <w:rFonts w:ascii="Times New Roman" w:hAnsi="Times New Roman" w:cs="Times New Roman"/>
                <w:color w:val="auto"/>
                <w:sz w:val="18"/>
                <w:szCs w:val="18"/>
              </w:rPr>
              <w:tab/>
            </w:r>
            <w:r>
              <w:rPr>
                <w:rFonts w:ascii="Times New Roman" w:cs="Times New Roman"/>
                <w:color w:val="auto"/>
                <w:sz w:val="18"/>
                <w:szCs w:val="18"/>
              </w:rPr>
              <w:t>日期</w:t>
            </w:r>
          </w:p>
        </w:tc>
      </w:tr>
    </w:tbl>
    <w:p>
      <w:pPr>
        <w:snapToGrid w:val="0"/>
        <w:rPr>
          <w:rFonts w:ascii="Times New Roman" w:hAnsi="Times New Roman" w:cs="Times New Roman"/>
          <w:color w:val="auto"/>
          <w:sz w:val="18"/>
          <w:szCs w:val="18"/>
        </w:rPr>
      </w:pPr>
    </w:p>
    <w:p>
      <w:pPr>
        <w:pStyle w:val="11"/>
        <w:snapToGrid w:val="0"/>
        <w:ind w:firstLine="0"/>
        <w:rPr>
          <w:rFonts w:ascii="Times New Roman" w:hAnsi="Times New Roman" w:cs="Times New Roman"/>
          <w:color w:val="auto"/>
          <w:sz w:val="18"/>
          <w:szCs w:val="18"/>
        </w:rPr>
      </w:pPr>
      <w:r>
        <w:rPr>
          <w:rFonts w:ascii="Times New Roman" w:cs="Times New Roman"/>
          <w:color w:val="auto"/>
          <w:sz w:val="18"/>
          <w:szCs w:val="18"/>
        </w:rPr>
        <w:t>注：</w:t>
      </w:r>
      <w:r>
        <w:rPr>
          <w:rFonts w:ascii="Times New Roman" w:hAnsi="Times New Roman" w:eastAsia="Times New Roman" w:cs="Times New Roman"/>
          <w:color w:val="auto"/>
          <w:sz w:val="18"/>
          <w:szCs w:val="18"/>
          <w:lang w:val="en-US" w:eastAsia="zh-CN" w:bidi="en-US"/>
        </w:rPr>
        <w:t>1.</w:t>
      </w:r>
      <w:r>
        <w:rPr>
          <w:rFonts w:ascii="Times New Roman" w:cs="Times New Roman"/>
          <w:color w:val="auto"/>
          <w:sz w:val="18"/>
          <w:szCs w:val="18"/>
        </w:rPr>
        <w:t>非特种设备隐患按其他安全生产要求执行。</w:t>
      </w:r>
    </w:p>
    <w:p>
      <w:pPr>
        <w:pStyle w:val="11"/>
        <w:numPr>
          <w:ilvl w:val="0"/>
          <w:numId w:val="1"/>
        </w:numPr>
        <w:snapToGrid w:val="0"/>
        <w:ind w:firstLine="0"/>
        <w:rPr>
          <w:rFonts w:ascii="Times New Roman" w:hAnsi="Times New Roman" w:cs="Times New Roman"/>
          <w:color w:val="auto"/>
          <w:sz w:val="18"/>
          <w:szCs w:val="18"/>
        </w:rPr>
        <w:sectPr>
          <w:headerReference r:id="rId5" w:type="first"/>
          <w:footerReference r:id="rId7" w:type="first"/>
          <w:headerReference r:id="rId3" w:type="default"/>
          <w:footerReference r:id="rId6" w:type="default"/>
          <w:headerReference r:id="rId4" w:type="even"/>
          <w:pgSz w:w="11906" w:h="16838"/>
          <w:pgMar w:top="1984" w:right="1474" w:bottom="1644" w:left="1474" w:header="851" w:footer="1191" w:gutter="0"/>
          <w:pgNumType w:fmt="numberInDash"/>
          <w:cols w:space="720" w:num="1"/>
          <w:titlePg/>
          <w:docGrid w:type="linesAndChars" w:linePitch="600" w:charSpace="-15"/>
        </w:sectPr>
      </w:pPr>
      <w:r>
        <w:rPr>
          <w:rFonts w:ascii="Times New Roman" w:hAnsi="Times New Roman" w:cs="Times New Roman"/>
          <w:color w:val="auto"/>
          <w:sz w:val="18"/>
          <w:szCs w:val="18"/>
          <w:lang w:val="zh-CN" w:eastAsia="zh-CN" w:bidi="zh-CN"/>
        </w:rPr>
        <w:t>“</w:t>
      </w:r>
      <w:r>
        <w:rPr>
          <w:rFonts w:ascii="Times New Roman" w:cs="Times New Roman"/>
          <w:color w:val="auto"/>
          <w:sz w:val="18"/>
          <w:szCs w:val="18"/>
          <w:lang w:val="zh-CN" w:eastAsia="zh-CN" w:bidi="zh-CN"/>
        </w:rPr>
        <w:t>隐</w:t>
      </w:r>
      <w:r>
        <w:rPr>
          <w:rFonts w:ascii="Times New Roman" w:cs="Times New Roman"/>
          <w:color w:val="auto"/>
          <w:sz w:val="18"/>
          <w:szCs w:val="18"/>
        </w:rPr>
        <w:t>患上报要求</w:t>
      </w:r>
      <w:r>
        <w:rPr>
          <w:rFonts w:ascii="Times New Roman" w:hAnsi="Times New Roman" w:cs="Times New Roman"/>
          <w:color w:val="auto"/>
          <w:sz w:val="18"/>
          <w:szCs w:val="18"/>
          <w:lang w:val="zh-CN" w:eastAsia="zh-CN" w:bidi="zh-CN"/>
        </w:rPr>
        <w:t>”</w:t>
      </w:r>
      <w:r>
        <w:rPr>
          <w:rFonts w:ascii="Times New Roman" w:cs="Times New Roman"/>
          <w:color w:val="auto"/>
          <w:sz w:val="18"/>
          <w:szCs w:val="18"/>
          <w:lang w:val="zh-CN" w:eastAsia="zh-CN" w:bidi="zh-CN"/>
        </w:rPr>
        <w:t>栏</w:t>
      </w:r>
      <w:r>
        <w:rPr>
          <w:rFonts w:ascii="Times New Roman" w:cs="Times New Roman"/>
          <w:color w:val="auto"/>
          <w:sz w:val="18"/>
          <w:szCs w:val="18"/>
        </w:rPr>
        <w:t>填写隐患上报部门。</w:t>
      </w:r>
    </w:p>
    <w:p>
      <w:pPr>
        <w:spacing w:beforeLines="25" w:afterLines="25"/>
        <w:jc w:val="center"/>
        <w:rPr>
          <w:rFonts w:hint="eastAsia" w:ascii="方正小标宋简体" w:hAnsi="方正小标宋简体" w:eastAsia="方正小标宋简体" w:cs="方正小标宋简体"/>
          <w:b w:val="0"/>
          <w:bCs/>
          <w:color w:val="auto"/>
          <w:kern w:val="2"/>
          <w:sz w:val="32"/>
          <w:szCs w:val="32"/>
          <w:lang w:val="en-US" w:eastAsia="zh-CN" w:bidi="ar-SA"/>
        </w:rPr>
      </w:pPr>
      <w:r>
        <w:rPr>
          <w:rFonts w:hint="eastAsia" w:ascii="方正小标宋简体" w:hAnsi="方正小标宋简体" w:eastAsia="方正小标宋简体" w:cs="方正小标宋简体"/>
          <w:b w:val="0"/>
          <w:bCs/>
          <w:color w:val="auto"/>
          <w:kern w:val="2"/>
          <w:sz w:val="32"/>
          <w:szCs w:val="32"/>
          <w:lang w:val="en-US" w:eastAsia="zh-CN" w:bidi="ar-SA"/>
        </w:rPr>
        <w:t>表A.2  特种设备隐患排查清单——使用管理通用要求</w:t>
      </w:r>
    </w:p>
    <w:tbl>
      <w:tblPr>
        <w:tblStyle w:val="8"/>
        <w:tblW w:w="1494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851"/>
        <w:gridCol w:w="709"/>
        <w:gridCol w:w="1035"/>
        <w:gridCol w:w="1134"/>
        <w:gridCol w:w="112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39" w:hRule="exact"/>
          <w:jc w:val="center"/>
        </w:trPr>
        <w:tc>
          <w:tcPr>
            <w:tcW w:w="851"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bCs w:val="0"/>
                <w:color w:val="auto"/>
                <w:sz w:val="18"/>
                <w:szCs w:val="18"/>
              </w:rPr>
            </w:pPr>
            <w:r>
              <w:rPr>
                <w:rFonts w:ascii="Times New Roman" w:hAnsi="黑体" w:eastAsia="黑体" w:cs="Times New Roman"/>
                <w:b/>
                <w:bCs w:val="0"/>
                <w:color w:val="auto"/>
                <w:sz w:val="18"/>
                <w:szCs w:val="18"/>
              </w:rPr>
              <w:t>排查内容</w:t>
            </w:r>
          </w:p>
        </w:tc>
        <w:tc>
          <w:tcPr>
            <w:tcW w:w="709"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bCs w:val="0"/>
                <w:color w:val="auto"/>
                <w:sz w:val="18"/>
                <w:szCs w:val="18"/>
                <w:lang w:eastAsia="zh-CN"/>
              </w:rPr>
            </w:pPr>
            <w:r>
              <w:rPr>
                <w:rFonts w:ascii="Times New Roman" w:hAnsi="黑体" w:eastAsia="黑体" w:cs="Times New Roman"/>
                <w:b/>
                <w:bCs w:val="0"/>
                <w:color w:val="auto"/>
                <w:sz w:val="18"/>
                <w:szCs w:val="18"/>
              </w:rPr>
              <w:t>排查</w:t>
            </w:r>
          </w:p>
          <w:p>
            <w:pPr>
              <w:pStyle w:val="10"/>
              <w:snapToGrid w:val="0"/>
              <w:spacing w:line="240" w:lineRule="auto"/>
              <w:jc w:val="center"/>
              <w:rPr>
                <w:rFonts w:ascii="Times New Roman" w:hAnsi="Times New Roman" w:eastAsia="黑体" w:cs="Times New Roman"/>
                <w:b/>
                <w:bCs w:val="0"/>
                <w:color w:val="auto"/>
                <w:sz w:val="18"/>
                <w:szCs w:val="18"/>
              </w:rPr>
            </w:pPr>
            <w:r>
              <w:rPr>
                <w:rFonts w:ascii="Times New Roman" w:hAnsi="黑体" w:eastAsia="黑体" w:cs="Times New Roman"/>
                <w:b/>
                <w:bCs w:val="0"/>
                <w:color w:val="auto"/>
                <w:sz w:val="18"/>
                <w:szCs w:val="18"/>
              </w:rPr>
              <w:t>时间</w:t>
            </w:r>
          </w:p>
        </w:tc>
        <w:tc>
          <w:tcPr>
            <w:tcW w:w="2169"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bCs w:val="0"/>
                <w:color w:val="auto"/>
                <w:sz w:val="18"/>
                <w:szCs w:val="18"/>
              </w:rPr>
            </w:pPr>
            <w:r>
              <w:rPr>
                <w:rFonts w:ascii="Times New Roman" w:hAnsi="黑体" w:eastAsia="黑体" w:cs="Times New Roman"/>
                <w:b/>
                <w:bCs w:val="0"/>
                <w:color w:val="auto"/>
                <w:sz w:val="18"/>
                <w:szCs w:val="18"/>
              </w:rPr>
              <w:t>排查依据</w:t>
            </w:r>
          </w:p>
        </w:tc>
        <w:tc>
          <w:tcPr>
            <w:tcW w:w="11212"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bCs w:val="0"/>
                <w:color w:val="auto"/>
                <w:sz w:val="18"/>
                <w:szCs w:val="18"/>
              </w:rPr>
            </w:pPr>
            <w:r>
              <w:rPr>
                <w:rFonts w:ascii="Times New Roman" w:hAnsi="黑体" w:eastAsia="黑体" w:cs="Times New Roman"/>
                <w:b/>
                <w:bCs w:val="0"/>
                <w:color w:val="auto"/>
                <w:sz w:val="18"/>
                <w:szCs w:val="18"/>
              </w:rPr>
              <w:t>排查要求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87" w:hRule="exact"/>
          <w:jc w:val="center"/>
        </w:trPr>
        <w:tc>
          <w:tcPr>
            <w:tcW w:w="851" w:type="dxa"/>
            <w:vMerge w:val="continue"/>
            <w:shd w:val="clear" w:color="auto" w:fill="FFFFFF"/>
            <w:noWrap/>
            <w:vAlign w:val="center"/>
          </w:tcPr>
          <w:p>
            <w:pPr>
              <w:snapToGrid w:val="0"/>
              <w:jc w:val="center"/>
              <w:rPr>
                <w:rFonts w:ascii="Times New Roman" w:hAnsi="Times New Roman" w:eastAsia="黑体" w:cs="Times New Roman"/>
                <w:b/>
                <w:color w:val="auto"/>
                <w:sz w:val="18"/>
                <w:szCs w:val="18"/>
              </w:rPr>
            </w:pPr>
          </w:p>
        </w:tc>
        <w:tc>
          <w:tcPr>
            <w:tcW w:w="709" w:type="dxa"/>
            <w:vMerge w:val="continue"/>
            <w:shd w:val="clear" w:color="auto" w:fill="FFFFFF"/>
            <w:noWrap/>
            <w:vAlign w:val="center"/>
          </w:tcPr>
          <w:p>
            <w:pPr>
              <w:snapToGrid w:val="0"/>
              <w:rPr>
                <w:rFonts w:ascii="Times New Roman" w:hAnsi="Times New Roman" w:eastAsia="黑体" w:cs="Times New Roman"/>
                <w:b/>
                <w:color w:val="auto"/>
                <w:sz w:val="18"/>
                <w:szCs w:val="18"/>
              </w:rPr>
            </w:pPr>
          </w:p>
        </w:tc>
        <w:tc>
          <w:tcPr>
            <w:tcW w:w="1035"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法规标准</w:t>
            </w:r>
          </w:p>
        </w:tc>
        <w:tc>
          <w:tcPr>
            <w:tcW w:w="1134"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适用条款</w:t>
            </w:r>
          </w:p>
        </w:tc>
        <w:tc>
          <w:tcPr>
            <w:tcW w:w="11212" w:type="dxa"/>
            <w:vMerge w:val="continue"/>
            <w:shd w:val="clear" w:color="auto" w:fill="FFFFFF"/>
            <w:noWrap/>
            <w:vAlign w:val="center"/>
          </w:tcPr>
          <w:p>
            <w:pPr>
              <w:snapToGrid w:val="0"/>
              <w:rPr>
                <w:rFonts w:ascii="Times New Roman" w:hAnsi="Times New Roman" w:eastAsia="黑体" w:cs="Times New Roman"/>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344" w:hRule="exact"/>
          <w:jc w:val="center"/>
        </w:trPr>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0" w:name="_Hlk53690291"/>
            <w:r>
              <w:rPr>
                <w:rFonts w:ascii="Times New Roman" w:cs="Times New Roman"/>
                <w:color w:val="auto"/>
                <w:sz w:val="18"/>
                <w:szCs w:val="18"/>
              </w:rPr>
              <w:t>主要义务</w:t>
            </w:r>
            <w:bookmarkEnd w:id="0"/>
          </w:p>
        </w:tc>
        <w:tc>
          <w:tcPr>
            <w:tcW w:w="709"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每</w:t>
            </w:r>
            <w:r>
              <w:rPr>
                <w:rFonts w:ascii="Times New Roman" w:hAnsi="Times New Roman" w:cs="Times New Roman"/>
                <w:color w:val="auto"/>
                <w:sz w:val="18"/>
                <w:szCs w:val="18"/>
                <w:lang w:eastAsia="zh-CN"/>
              </w:rPr>
              <w:t>年</w:t>
            </w:r>
          </w:p>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一次</w:t>
            </w:r>
          </w:p>
        </w:tc>
        <w:tc>
          <w:tcPr>
            <w:tcW w:w="1035"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特种设备使用管理规则</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(TSG 08</w:t>
            </w:r>
            <w:r>
              <w:rPr>
                <w:rFonts w:hint="eastAsia" w:ascii="Times New Roman" w:hAnsi="Times New Roman" w:eastAsia="宋体"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2017)</w:t>
            </w:r>
          </w:p>
        </w:tc>
        <w:tc>
          <w:tcPr>
            <w:tcW w:w="113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2.2</w:t>
            </w:r>
          </w:p>
        </w:tc>
        <w:tc>
          <w:tcPr>
            <w:tcW w:w="11212"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特种设备使用单位主要义务如下：</w:t>
            </w:r>
          </w:p>
          <w:p>
            <w:pPr>
              <w:pStyle w:val="10"/>
              <w:numPr>
                <w:ilvl w:val="0"/>
                <w:numId w:val="2"/>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建立并且有效实施特种设备安全管理制度和高耗能特种设备节能管理制度，以及操作规程；</w:t>
            </w:r>
          </w:p>
          <w:p>
            <w:pPr>
              <w:pStyle w:val="10"/>
              <w:numPr>
                <w:ilvl w:val="0"/>
                <w:numId w:val="2"/>
              </w:numPr>
              <w:tabs>
                <w:tab w:val="left" w:pos="331"/>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采购、使用取得许可生产</w:t>
            </w:r>
            <w:r>
              <w:rPr>
                <w:rFonts w:ascii="Times New Roman" w:hAnsi="Times New Roman" w:cs="Times New Roman"/>
                <w:color w:val="auto"/>
                <w:sz w:val="18"/>
                <w:szCs w:val="18"/>
              </w:rPr>
              <w:t>(</w:t>
            </w:r>
            <w:r>
              <w:rPr>
                <w:rFonts w:ascii="Times New Roman" w:cs="Times New Roman"/>
                <w:color w:val="auto"/>
                <w:sz w:val="18"/>
                <w:szCs w:val="18"/>
              </w:rPr>
              <w:t>含设计、制造、安装、改造、修理，下同</w:t>
            </w:r>
            <w:r>
              <w:rPr>
                <w:rFonts w:ascii="Times New Roman" w:hAnsi="Times New Roman" w:cs="Times New Roman"/>
                <w:color w:val="auto"/>
                <w:sz w:val="18"/>
                <w:szCs w:val="18"/>
              </w:rPr>
              <w:t>)</w:t>
            </w:r>
            <w:r>
              <w:rPr>
                <w:rFonts w:ascii="Times New Roman" w:cs="Times New Roman"/>
                <w:color w:val="auto"/>
                <w:sz w:val="18"/>
                <w:szCs w:val="18"/>
              </w:rPr>
              <w:t>，并且经检验合格的特种设备，不得采购超过设计使用年限的特种设备</w:t>
            </w:r>
            <w:r>
              <w:rPr>
                <w:rFonts w:ascii="Times New Roman" w:hAnsi="Times New Roman" w:cs="Times New Roman"/>
                <w:color w:val="auto"/>
                <w:sz w:val="18"/>
                <w:szCs w:val="18"/>
              </w:rPr>
              <w:t>,</w:t>
            </w:r>
            <w:r>
              <w:rPr>
                <w:rFonts w:ascii="Times New Roman" w:cs="Times New Roman"/>
                <w:color w:val="auto"/>
                <w:sz w:val="18"/>
                <w:szCs w:val="18"/>
              </w:rPr>
              <w:t>禁止使用国家明令淘汰和已经报废的特种设备；</w:t>
            </w:r>
          </w:p>
          <w:p>
            <w:pPr>
              <w:pStyle w:val="10"/>
              <w:numPr>
                <w:ilvl w:val="0"/>
                <w:numId w:val="2"/>
              </w:numPr>
              <w:tabs>
                <w:tab w:val="left" w:pos="33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设置特种设备安全管理机构，配备相应的安全管理人员和作业人员，建立人员管理台账，开展安全与节能培训教育，保存人员培训记录；</w:t>
            </w:r>
          </w:p>
          <w:p>
            <w:pPr>
              <w:pStyle w:val="10"/>
              <w:numPr>
                <w:ilvl w:val="0"/>
                <w:numId w:val="2"/>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办理使用登记，领取《特种设备使用登记证》，设备注销时交回使用登记证；</w:t>
            </w:r>
          </w:p>
          <w:p>
            <w:pPr>
              <w:pStyle w:val="10"/>
              <w:numPr>
                <w:ilvl w:val="0"/>
                <w:numId w:val="2"/>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建立特种设备台账及技术档案；</w:t>
            </w:r>
          </w:p>
          <w:p>
            <w:pPr>
              <w:pStyle w:val="10"/>
              <w:numPr>
                <w:ilvl w:val="0"/>
                <w:numId w:val="2"/>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对特种设备作业人员作业情况进行检查，及时纠正违章作业行为；</w:t>
            </w:r>
          </w:p>
          <w:p>
            <w:pPr>
              <w:pStyle w:val="10"/>
              <w:numPr>
                <w:ilvl w:val="0"/>
                <w:numId w:val="2"/>
              </w:numPr>
              <w:tabs>
                <w:tab w:val="left" w:pos="331"/>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对在用特种设备进行经常性维护保养和定期自行检查，及时排查和消除事故隐患，对在用特种设备的安全附件、安全保护装置及其附属仪器仪表进行定期校验</w:t>
            </w:r>
            <w:r>
              <w:rPr>
                <w:rFonts w:ascii="Times New Roman" w:hAnsi="Times New Roman" w:cs="Times New Roman"/>
                <w:color w:val="auto"/>
                <w:sz w:val="18"/>
                <w:szCs w:val="18"/>
              </w:rPr>
              <w:t>(</w:t>
            </w:r>
            <w:r>
              <w:rPr>
                <w:rFonts w:ascii="Times New Roman" w:cs="Times New Roman"/>
                <w:color w:val="auto"/>
                <w:sz w:val="18"/>
                <w:szCs w:val="18"/>
              </w:rPr>
              <w:t>检定、校准，下同</w:t>
            </w:r>
            <w:r>
              <w:rPr>
                <w:rFonts w:ascii="Times New Roman" w:hAnsi="Times New Roman" w:cs="Times New Roman"/>
                <w:color w:val="auto"/>
                <w:sz w:val="18"/>
                <w:szCs w:val="18"/>
              </w:rPr>
              <w:t>)</w:t>
            </w:r>
            <w:r>
              <w:rPr>
                <w:rFonts w:ascii="Times New Roman" w:cs="Times New Roman"/>
                <w:color w:val="auto"/>
                <w:sz w:val="18"/>
                <w:szCs w:val="18"/>
              </w:rPr>
              <w:t>、检修，及时提出定期检验和能效测试申请，接受定期检验和能效测试，并且做好相关配合工作；</w:t>
            </w:r>
          </w:p>
          <w:p>
            <w:pPr>
              <w:pStyle w:val="10"/>
              <w:numPr>
                <w:ilvl w:val="0"/>
                <w:numId w:val="2"/>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制定特种设备事故应急专项预案</w:t>
            </w:r>
            <w:r>
              <w:rPr>
                <w:rFonts w:ascii="Times New Roman" w:hAnsi="Times New Roman" w:cs="Times New Roman"/>
                <w:color w:val="auto"/>
                <w:sz w:val="18"/>
                <w:szCs w:val="18"/>
              </w:rPr>
              <w:t>,</w:t>
            </w:r>
            <w:r>
              <w:rPr>
                <w:rFonts w:ascii="Times New Roman" w:cs="Times New Roman"/>
                <w:color w:val="auto"/>
                <w:sz w:val="18"/>
                <w:szCs w:val="18"/>
              </w:rPr>
              <w:t>定期进行应急演练；发生事故及时上报，配合事故调查处理等；</w:t>
            </w:r>
          </w:p>
          <w:p>
            <w:pPr>
              <w:pStyle w:val="10"/>
              <w:numPr>
                <w:ilvl w:val="0"/>
                <w:numId w:val="2"/>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保证特种设备安全、节能必要的投入；</w:t>
            </w:r>
          </w:p>
          <w:p>
            <w:pPr>
              <w:pStyle w:val="10"/>
              <w:numPr>
                <w:ilvl w:val="0"/>
                <w:numId w:val="2"/>
              </w:numPr>
              <w:tabs>
                <w:tab w:val="left" w:pos="403"/>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法律、法规规定的其他义务。</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使用单位应当接受特种设备安全监管部门依法实施的监督检查。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243" w:hRule="exact"/>
          <w:jc w:val="center"/>
        </w:trPr>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1" w:name="_Hlk53690338"/>
            <w:r>
              <w:rPr>
                <w:rFonts w:ascii="Times New Roman" w:cs="Times New Roman"/>
                <w:color w:val="auto"/>
                <w:sz w:val="18"/>
                <w:szCs w:val="18"/>
              </w:rPr>
              <w:t>机构设置</w:t>
            </w:r>
            <w:bookmarkEnd w:id="1"/>
          </w:p>
        </w:tc>
        <w:tc>
          <w:tcPr>
            <w:tcW w:w="709"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c>
          <w:tcPr>
            <w:tcW w:w="1035"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1134" w:type="dxa"/>
            <w:shd w:val="clear" w:color="auto" w:fill="FFFFFF"/>
            <w:noWrap/>
            <w:vAlign w:val="center"/>
          </w:tcPr>
          <w:p>
            <w:pPr>
              <w:pStyle w:val="10"/>
              <w:snapToGrid w:val="0"/>
              <w:spacing w:line="240" w:lineRule="auto"/>
              <w:jc w:val="center"/>
              <w:rPr>
                <w:rFonts w:ascii="Times New Roman" w:hAnsi="Times New Roman" w:eastAsia="宋体" w:cs="Times New Roman"/>
                <w:color w:val="auto"/>
                <w:sz w:val="18"/>
                <w:szCs w:val="18"/>
                <w:lang w:eastAsia="zh-CN"/>
              </w:rPr>
            </w:pPr>
            <w:r>
              <w:rPr>
                <w:rFonts w:ascii="Times New Roman" w:hAnsi="Times New Roman" w:eastAsia="Times New Roman" w:cs="Times New Roman"/>
                <w:color w:val="auto"/>
                <w:sz w:val="18"/>
                <w:szCs w:val="18"/>
                <w:lang w:val="en-US" w:eastAsia="en-US" w:bidi="en-US"/>
              </w:rPr>
              <w:t>2.3</w:t>
            </w:r>
            <w:r>
              <w:rPr>
                <w:rFonts w:ascii="Times New Roman" w:hAnsi="Times New Roman" w:eastAsia="宋体" w:cs="Times New Roman"/>
                <w:color w:val="auto"/>
                <w:sz w:val="18"/>
                <w:szCs w:val="18"/>
                <w:lang w:val="en-US" w:eastAsia="zh-CN" w:bidi="en-US"/>
              </w:rPr>
              <w:t>.2</w:t>
            </w:r>
          </w:p>
        </w:tc>
        <w:tc>
          <w:tcPr>
            <w:tcW w:w="11212"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符合下列条件之一的特种设备使用单位，应当根据本单位特种设备的类别、品种、用途、数量等情况设置特种设备安全管理机构，逐台落实安全责任人：</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cs="Times New Roman"/>
                <w:color w:val="auto"/>
                <w:sz w:val="18"/>
                <w:szCs w:val="18"/>
                <w:lang w:eastAsia="zh-CN"/>
              </w:rPr>
              <w:t>1</w:t>
            </w:r>
            <w:r>
              <w:rPr>
                <w:rFonts w:ascii="Times New Roman" w:hAnsi="Times New Roman" w:eastAsia="Times New Roman" w:cs="Times New Roman"/>
                <w:color w:val="auto"/>
                <w:sz w:val="18"/>
                <w:szCs w:val="18"/>
              </w:rPr>
              <w:t>)</w:t>
            </w:r>
            <w:r>
              <w:rPr>
                <w:rFonts w:ascii="Times New Roman" w:cs="Times New Roman"/>
                <w:color w:val="auto"/>
                <w:sz w:val="18"/>
                <w:szCs w:val="18"/>
              </w:rPr>
              <w:t>使用电站锅炉或者石化与化工成套装置的；</w:t>
            </w:r>
          </w:p>
          <w:p>
            <w:pPr>
              <w:pStyle w:val="10"/>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cs="Times New Roman"/>
                <w:color w:val="auto"/>
                <w:sz w:val="18"/>
                <w:szCs w:val="18"/>
              </w:rPr>
              <w:t>使用为公众提供运营服务电梯的</w:t>
            </w:r>
            <w:r>
              <w:rPr>
                <w:rFonts w:ascii="Times New Roman" w:hAnsi="Times New Roman" w:cs="Times New Roman"/>
                <w:color w:val="auto"/>
                <w:sz w:val="18"/>
                <w:szCs w:val="18"/>
              </w:rPr>
              <w:t>(</w:t>
            </w:r>
            <w:r>
              <w:rPr>
                <w:rFonts w:ascii="Times New Roman" w:cs="Times New Roman"/>
                <w:color w:val="auto"/>
                <w:sz w:val="18"/>
                <w:szCs w:val="18"/>
              </w:rPr>
              <w:t>注</w:t>
            </w:r>
            <w:r>
              <w:rPr>
                <w:rFonts w:ascii="Times New Roman" w:hAnsi="Times New Roman" w:eastAsia="Times New Roman" w:cs="Times New Roman"/>
                <w:color w:val="auto"/>
                <w:sz w:val="18"/>
                <w:szCs w:val="18"/>
              </w:rPr>
              <w:t>2-2)</w:t>
            </w:r>
            <w:r>
              <w:rPr>
                <w:rFonts w:ascii="Times New Roman" w:hAnsi="Times New Roman" w:cs="Times New Roman"/>
                <w:color w:val="auto"/>
                <w:sz w:val="18"/>
                <w:szCs w:val="18"/>
                <w:lang w:eastAsia="zh-CN"/>
              </w:rPr>
              <w:t>，</w:t>
            </w:r>
            <w:r>
              <w:rPr>
                <w:rFonts w:ascii="Times New Roman" w:cs="Times New Roman"/>
                <w:color w:val="auto"/>
                <w:sz w:val="18"/>
                <w:szCs w:val="18"/>
              </w:rPr>
              <w:t>或者在公众聚集场所</w:t>
            </w:r>
            <w:r>
              <w:rPr>
                <w:rFonts w:ascii="Times New Roman" w:hAnsi="Times New Roman" w:cs="Times New Roman"/>
                <w:color w:val="auto"/>
                <w:sz w:val="18"/>
                <w:szCs w:val="18"/>
              </w:rPr>
              <w:t>(</w:t>
            </w:r>
            <w:r>
              <w:rPr>
                <w:rFonts w:ascii="Times New Roman" w:cs="Times New Roman"/>
                <w:color w:val="auto"/>
                <w:sz w:val="18"/>
                <w:szCs w:val="18"/>
              </w:rPr>
              <w:t>注</w:t>
            </w:r>
            <w:r>
              <w:rPr>
                <w:rFonts w:ascii="Times New Roman" w:hAnsi="Times New Roman" w:eastAsia="Times New Roman" w:cs="Times New Roman"/>
                <w:color w:val="auto"/>
                <w:sz w:val="18"/>
                <w:szCs w:val="18"/>
              </w:rPr>
              <w:t>2-3)</w:t>
            </w:r>
            <w:r>
              <w:rPr>
                <w:rFonts w:ascii="Times New Roman" w:cs="Times New Roman"/>
                <w:color w:val="auto"/>
                <w:sz w:val="18"/>
                <w:szCs w:val="18"/>
              </w:rPr>
              <w:t>使用</w:t>
            </w:r>
            <w:r>
              <w:rPr>
                <w:rFonts w:ascii="Times New Roman" w:hAnsi="Times New Roman" w:eastAsia="Times New Roman" w:cs="Times New Roman"/>
                <w:color w:val="auto"/>
                <w:sz w:val="18"/>
                <w:szCs w:val="18"/>
              </w:rPr>
              <w:t>30</w:t>
            </w:r>
            <w:r>
              <w:rPr>
                <w:rFonts w:ascii="Times New Roman" w:cs="Times New Roman"/>
                <w:color w:val="auto"/>
                <w:sz w:val="18"/>
                <w:szCs w:val="18"/>
              </w:rPr>
              <w:t>台以上</w:t>
            </w:r>
            <w:r>
              <w:rPr>
                <w:rFonts w:ascii="Times New Roman" w:hAnsi="Times New Roman" w:cs="Times New Roman"/>
                <w:color w:val="auto"/>
                <w:sz w:val="18"/>
                <w:szCs w:val="18"/>
              </w:rPr>
              <w:t>(</w:t>
            </w:r>
            <w:r>
              <w:rPr>
                <w:rFonts w:ascii="Times New Roman" w:cs="Times New Roman"/>
                <w:color w:val="auto"/>
                <w:sz w:val="18"/>
                <w:szCs w:val="18"/>
              </w:rPr>
              <w:t>含</w:t>
            </w:r>
            <w:r>
              <w:rPr>
                <w:rFonts w:ascii="Times New Roman" w:hAnsi="Times New Roman" w:eastAsia="Times New Roman" w:cs="Times New Roman"/>
                <w:color w:val="auto"/>
                <w:sz w:val="18"/>
                <w:szCs w:val="18"/>
              </w:rPr>
              <w:t>30</w:t>
            </w:r>
            <w:r>
              <w:rPr>
                <w:rFonts w:ascii="Times New Roman" w:cs="Times New Roman"/>
                <w:color w:val="auto"/>
                <w:sz w:val="18"/>
                <w:szCs w:val="18"/>
              </w:rPr>
              <w:t>台</w:t>
            </w:r>
            <w:r>
              <w:rPr>
                <w:rFonts w:ascii="Times New Roman" w:hAnsi="Times New Roman" w:cs="Times New Roman"/>
                <w:color w:val="auto"/>
                <w:sz w:val="18"/>
                <w:szCs w:val="18"/>
              </w:rPr>
              <w:t>)</w:t>
            </w:r>
            <w:r>
              <w:rPr>
                <w:rFonts w:ascii="Times New Roman" w:cs="Times New Roman"/>
                <w:color w:val="auto"/>
                <w:sz w:val="18"/>
                <w:szCs w:val="18"/>
              </w:rPr>
              <w:t>电梯的；</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使用</w:t>
            </w:r>
            <w:r>
              <w:rPr>
                <w:rFonts w:ascii="Times New Roman" w:hAnsi="Times New Roman" w:eastAsia="Times New Roman" w:cs="Times New Roman"/>
                <w:color w:val="auto"/>
                <w:sz w:val="18"/>
                <w:szCs w:val="18"/>
              </w:rPr>
              <w:t>10</w:t>
            </w:r>
            <w:r>
              <w:rPr>
                <w:rFonts w:ascii="Times New Roman" w:cs="Times New Roman"/>
                <w:color w:val="auto"/>
                <w:sz w:val="18"/>
                <w:szCs w:val="18"/>
              </w:rPr>
              <w:t>台以上</w:t>
            </w:r>
            <w:r>
              <w:rPr>
                <w:rFonts w:ascii="Times New Roman" w:hAnsi="Times New Roman" w:cs="Times New Roman"/>
                <w:color w:val="auto"/>
                <w:sz w:val="18"/>
                <w:szCs w:val="18"/>
              </w:rPr>
              <w:t>(</w:t>
            </w:r>
            <w:r>
              <w:rPr>
                <w:rFonts w:ascii="Times New Roman" w:cs="Times New Roman"/>
                <w:color w:val="auto"/>
                <w:sz w:val="18"/>
                <w:szCs w:val="18"/>
              </w:rPr>
              <w:t>含</w:t>
            </w:r>
            <w:r>
              <w:rPr>
                <w:rFonts w:ascii="Times New Roman" w:hAnsi="Times New Roman" w:eastAsia="Times New Roman" w:cs="Times New Roman"/>
                <w:color w:val="auto"/>
                <w:sz w:val="18"/>
                <w:szCs w:val="18"/>
              </w:rPr>
              <w:t>10</w:t>
            </w:r>
            <w:r>
              <w:rPr>
                <w:rFonts w:ascii="Times New Roman" w:cs="Times New Roman"/>
                <w:color w:val="auto"/>
                <w:sz w:val="18"/>
                <w:szCs w:val="18"/>
              </w:rPr>
              <w:t>台</w:t>
            </w:r>
            <w:r>
              <w:rPr>
                <w:rFonts w:ascii="Times New Roman" w:hAnsi="Times New Roman" w:cs="Times New Roman"/>
                <w:color w:val="auto"/>
                <w:sz w:val="18"/>
                <w:szCs w:val="18"/>
              </w:rPr>
              <w:t>)</w:t>
            </w:r>
            <w:r>
              <w:rPr>
                <w:rFonts w:ascii="Times New Roman" w:cs="Times New Roman"/>
                <w:color w:val="auto"/>
                <w:sz w:val="18"/>
                <w:szCs w:val="18"/>
              </w:rPr>
              <w:t>大型游乐设施的，或者</w:t>
            </w:r>
            <w:r>
              <w:rPr>
                <w:rFonts w:ascii="Times New Roman" w:hAnsi="Times New Roman" w:eastAsia="Times New Roman" w:cs="Times New Roman"/>
                <w:color w:val="auto"/>
                <w:sz w:val="18"/>
                <w:szCs w:val="18"/>
              </w:rPr>
              <w:t>10</w:t>
            </w:r>
            <w:r>
              <w:rPr>
                <w:rFonts w:ascii="Times New Roman" w:cs="Times New Roman"/>
                <w:color w:val="auto"/>
                <w:sz w:val="18"/>
                <w:szCs w:val="18"/>
              </w:rPr>
              <w:t>台以上</w:t>
            </w:r>
            <w:r>
              <w:rPr>
                <w:rFonts w:ascii="Times New Roman" w:hAnsi="Times New Roman" w:cs="Times New Roman"/>
                <w:color w:val="auto"/>
                <w:sz w:val="18"/>
                <w:szCs w:val="18"/>
              </w:rPr>
              <w:t>(</w:t>
            </w:r>
            <w:r>
              <w:rPr>
                <w:rFonts w:ascii="Times New Roman" w:cs="Times New Roman"/>
                <w:color w:val="auto"/>
                <w:sz w:val="18"/>
                <w:szCs w:val="18"/>
              </w:rPr>
              <w:t>含</w:t>
            </w:r>
            <w:r>
              <w:rPr>
                <w:rFonts w:ascii="Times New Roman" w:hAnsi="Times New Roman" w:eastAsia="Times New Roman" w:cs="Times New Roman"/>
                <w:color w:val="auto"/>
                <w:sz w:val="18"/>
                <w:szCs w:val="18"/>
              </w:rPr>
              <w:t>10</w:t>
            </w:r>
            <w:r>
              <w:rPr>
                <w:rFonts w:ascii="Times New Roman" w:cs="Times New Roman"/>
                <w:color w:val="auto"/>
                <w:sz w:val="18"/>
                <w:szCs w:val="18"/>
              </w:rPr>
              <w:t>台</w:t>
            </w:r>
            <w:r>
              <w:rPr>
                <w:rFonts w:ascii="Times New Roman" w:hAnsi="Times New Roman" w:cs="Times New Roman"/>
                <w:color w:val="auto"/>
                <w:sz w:val="18"/>
                <w:szCs w:val="18"/>
              </w:rPr>
              <w:t>)</w:t>
            </w:r>
            <w:r>
              <w:rPr>
                <w:rFonts w:ascii="Times New Roman" w:cs="Times New Roman"/>
                <w:color w:val="auto"/>
                <w:sz w:val="18"/>
                <w:szCs w:val="18"/>
              </w:rPr>
              <w:t>为公众提供运营服务非公路用旅游观光车辆的；</w:t>
            </w:r>
          </w:p>
          <w:p>
            <w:pPr>
              <w:pStyle w:val="10"/>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cs="Times New Roman"/>
                <w:color w:val="auto"/>
                <w:sz w:val="18"/>
                <w:szCs w:val="18"/>
              </w:rPr>
              <w:t>使用客运架空索道，或者客运缆车的；</w:t>
            </w:r>
          </w:p>
          <w:p>
            <w:pPr>
              <w:pStyle w:val="10"/>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5)</w:t>
            </w:r>
            <w:r>
              <w:rPr>
                <w:rFonts w:ascii="Times New Roman" w:cs="Times New Roman"/>
                <w:color w:val="auto"/>
                <w:sz w:val="18"/>
                <w:szCs w:val="18"/>
              </w:rPr>
              <w:t>使用特种设备</w:t>
            </w:r>
            <w:r>
              <w:rPr>
                <w:rFonts w:ascii="Times New Roman" w:hAnsi="Times New Roman" w:cs="Times New Roman"/>
                <w:color w:val="auto"/>
                <w:sz w:val="18"/>
                <w:szCs w:val="18"/>
              </w:rPr>
              <w:t>(</w:t>
            </w:r>
            <w:r>
              <w:rPr>
                <w:rFonts w:ascii="Times New Roman" w:cs="Times New Roman"/>
                <w:color w:val="auto"/>
                <w:sz w:val="18"/>
                <w:szCs w:val="18"/>
              </w:rPr>
              <w:t>不含气瓶</w:t>
            </w:r>
            <w:r>
              <w:rPr>
                <w:rFonts w:ascii="Times New Roman" w:hAnsi="Times New Roman" w:cs="Times New Roman"/>
                <w:color w:val="auto"/>
                <w:sz w:val="18"/>
                <w:szCs w:val="18"/>
              </w:rPr>
              <w:t>)</w:t>
            </w:r>
            <w:r>
              <w:rPr>
                <w:rFonts w:ascii="Times New Roman" w:cs="Times New Roman"/>
                <w:color w:val="auto"/>
                <w:sz w:val="18"/>
                <w:szCs w:val="18"/>
              </w:rPr>
              <w:t>总量</w:t>
            </w:r>
            <w:r>
              <w:rPr>
                <w:rFonts w:ascii="Times New Roman" w:hAnsi="Times New Roman" w:eastAsia="Times New Roman" w:cs="Times New Roman"/>
                <w:color w:val="auto"/>
                <w:sz w:val="18"/>
                <w:szCs w:val="18"/>
              </w:rPr>
              <w:t>50</w:t>
            </w:r>
            <w:r>
              <w:rPr>
                <w:rFonts w:ascii="Times New Roman" w:cs="Times New Roman"/>
                <w:color w:val="auto"/>
                <w:sz w:val="18"/>
                <w:szCs w:val="18"/>
              </w:rPr>
              <w:t>台以上</w:t>
            </w:r>
            <w:r>
              <w:rPr>
                <w:rFonts w:ascii="Times New Roman" w:hAnsi="Times New Roman" w:cs="Times New Roman"/>
                <w:color w:val="auto"/>
                <w:sz w:val="18"/>
                <w:szCs w:val="18"/>
              </w:rPr>
              <w:t>(</w:t>
            </w:r>
            <w:r>
              <w:rPr>
                <w:rFonts w:ascii="Times New Roman" w:cs="Times New Roman"/>
                <w:color w:val="auto"/>
                <w:sz w:val="18"/>
                <w:szCs w:val="18"/>
              </w:rPr>
              <w:t>含</w:t>
            </w:r>
            <w:r>
              <w:rPr>
                <w:rFonts w:ascii="Times New Roman" w:hAnsi="Times New Roman" w:eastAsia="Times New Roman" w:cs="Times New Roman"/>
                <w:color w:val="auto"/>
                <w:sz w:val="18"/>
                <w:szCs w:val="18"/>
              </w:rPr>
              <w:t>50</w:t>
            </w:r>
            <w:r>
              <w:rPr>
                <w:rFonts w:ascii="Times New Roman" w:cs="Times New Roman"/>
                <w:color w:val="auto"/>
                <w:sz w:val="18"/>
                <w:szCs w:val="18"/>
              </w:rPr>
              <w:t>台</w:t>
            </w:r>
            <w:r>
              <w:rPr>
                <w:rFonts w:ascii="Times New Roman" w:hAnsi="Times New Roman" w:cs="Times New Roman"/>
                <w:color w:val="auto"/>
                <w:sz w:val="18"/>
                <w:szCs w:val="18"/>
              </w:rPr>
              <w:t>)</w:t>
            </w:r>
            <w:r>
              <w:rPr>
                <w:rFonts w:ascii="Times New Roman" w:cs="Times New Roman"/>
                <w:color w:val="auto"/>
                <w:sz w:val="18"/>
                <w:szCs w:val="18"/>
              </w:rPr>
              <w:t>的。</w:t>
            </w:r>
          </w:p>
          <w:p>
            <w:pPr>
              <w:pStyle w:val="10"/>
              <w:snapToGrid w:val="0"/>
              <w:spacing w:line="240" w:lineRule="auto"/>
              <w:rPr>
                <w:rFonts w:ascii="Times New Roman" w:hAnsi="Times New Roman" w:cs="Times New Roman"/>
                <w:color w:val="auto"/>
                <w:sz w:val="15"/>
                <w:szCs w:val="15"/>
              </w:rPr>
            </w:pPr>
            <w:r>
              <w:rPr>
                <w:rFonts w:ascii="Times New Roman" w:cs="Times New Roman"/>
                <w:color w:val="auto"/>
                <w:sz w:val="15"/>
                <w:szCs w:val="15"/>
              </w:rPr>
              <w:t>注</w:t>
            </w:r>
            <w:r>
              <w:rPr>
                <w:rFonts w:ascii="Times New Roman" w:hAnsi="Times New Roman" w:eastAsia="Times New Roman" w:cs="Times New Roman"/>
                <w:color w:val="auto"/>
                <w:sz w:val="15"/>
                <w:szCs w:val="15"/>
                <w:lang w:val="en-US" w:eastAsia="zh-CN" w:bidi="en-US"/>
              </w:rPr>
              <w:t>2-2</w:t>
            </w:r>
            <w:r>
              <w:rPr>
                <w:rFonts w:ascii="Times New Roman" w:cs="Times New Roman"/>
                <w:color w:val="auto"/>
                <w:sz w:val="15"/>
                <w:szCs w:val="15"/>
                <w:lang w:val="en-US" w:eastAsia="zh-CN" w:bidi="en-US"/>
              </w:rPr>
              <w:t>：</w:t>
            </w:r>
            <w:r>
              <w:rPr>
                <w:rFonts w:ascii="Times New Roman" w:cs="Times New Roman"/>
                <w:color w:val="auto"/>
                <w:sz w:val="15"/>
                <w:szCs w:val="15"/>
              </w:rPr>
              <w:t>为公众提供运营服务的特种设备使用单位，是指以特种设备作为经营工具的使用单位。</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5"/>
                <w:szCs w:val="15"/>
              </w:rPr>
              <w:t>注</w:t>
            </w:r>
            <w:r>
              <w:rPr>
                <w:rFonts w:ascii="Times New Roman" w:hAnsi="Times New Roman" w:eastAsia="Times New Roman" w:cs="Times New Roman"/>
                <w:color w:val="auto"/>
                <w:sz w:val="15"/>
                <w:szCs w:val="15"/>
                <w:lang w:val="en-US" w:eastAsia="zh-CN" w:bidi="en-US"/>
              </w:rPr>
              <w:t>2-3</w:t>
            </w:r>
            <w:r>
              <w:rPr>
                <w:rFonts w:ascii="Times New Roman" w:cs="Times New Roman"/>
                <w:color w:val="auto"/>
                <w:sz w:val="15"/>
                <w:szCs w:val="15"/>
                <w:lang w:val="en-US" w:eastAsia="zh-CN" w:bidi="en-US"/>
              </w:rPr>
              <w:t>：</w:t>
            </w:r>
            <w:r>
              <w:rPr>
                <w:rFonts w:ascii="Times New Roman" w:cs="Times New Roman"/>
                <w:color w:val="auto"/>
                <w:sz w:val="15"/>
                <w:szCs w:val="15"/>
              </w:rPr>
              <w:t>公众聚集场所，是指学校、幼儿园、医疗机构、车站、机场、客运码头、商场、餐饮场所、体育场馆、展览馆、公园、宾馆、影剧院、图书馆、儿童活动中心、公共浴池、养老机构等。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792" w:hRule="exact"/>
          <w:jc w:val="center"/>
        </w:trPr>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2" w:name="_Hlk53690362"/>
            <w:r>
              <w:rPr>
                <w:rFonts w:ascii="Times New Roman" w:cs="Times New Roman"/>
                <w:color w:val="auto"/>
                <w:sz w:val="18"/>
                <w:szCs w:val="18"/>
              </w:rPr>
              <w:t>管理人员职责与配备</w:t>
            </w:r>
            <w:bookmarkEnd w:id="2"/>
          </w:p>
        </w:tc>
        <w:tc>
          <w:tcPr>
            <w:tcW w:w="709"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c>
          <w:tcPr>
            <w:tcW w:w="103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13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2.4.1</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2.4.2</w:t>
            </w:r>
          </w:p>
        </w:tc>
        <w:tc>
          <w:tcPr>
            <w:tcW w:w="11212"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cs="Times New Roman"/>
                <w:color w:val="auto"/>
                <w:sz w:val="18"/>
                <w:szCs w:val="18"/>
              </w:rPr>
              <w:t>主要负责人</w:t>
            </w:r>
            <w:r>
              <w:rPr>
                <w:rFonts w:ascii="Times New Roman" w:cs="Times New Roman"/>
                <w:color w:val="auto"/>
                <w:sz w:val="18"/>
                <w:szCs w:val="18"/>
                <w:lang w:eastAsia="zh-CN"/>
              </w:rPr>
              <w:t>：</w:t>
            </w:r>
            <w:r>
              <w:rPr>
                <w:rFonts w:ascii="Times New Roman" w:cs="Times New Roman"/>
                <w:color w:val="auto"/>
                <w:sz w:val="18"/>
                <w:szCs w:val="18"/>
              </w:rPr>
              <w:t>主要负责人是指特种设备使用单位的实际最高管理者，对其单位所使用的特种设备安全节能负总责。</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rPr>
              <w:t>2</w:t>
            </w:r>
            <w:r>
              <w:rPr>
                <w:rFonts w:ascii="Times New Roman" w:cs="Times New Roman"/>
                <w:color w:val="auto"/>
                <w:sz w:val="18"/>
                <w:szCs w:val="18"/>
              </w:rPr>
              <w:t>安全管理人员</w:t>
            </w:r>
            <w:r>
              <w:rPr>
                <w:rFonts w:ascii="Times New Roman" w:hAnsi="Times New Roman" w:cs="Times New Roman"/>
                <w:color w:val="auto"/>
                <w:sz w:val="18"/>
                <w:szCs w:val="18"/>
                <w:lang w:eastAsia="zh-CN"/>
              </w:rPr>
              <w:t xml:space="preserve">  </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2.1</w:t>
            </w:r>
            <w:r>
              <w:rPr>
                <w:rFonts w:ascii="Times New Roman" w:cs="Times New Roman"/>
                <w:color w:val="auto"/>
                <w:sz w:val="18"/>
                <w:szCs w:val="18"/>
              </w:rPr>
              <w:t>安全管理负责人</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特种设备使用单位应当配备安全管理负责人。特种设备安全管理负责人是指使用单位最高管理层中主管本单位特种设备使用安全管理的人员。按照本规则要求设置安全管理机构的使用单位安全管理负责人，应当取得相应的特种设备安全管理人员资格证书。安全管理负责人职责如下：</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cs="Times New Roman"/>
                <w:color w:val="auto"/>
                <w:sz w:val="18"/>
                <w:szCs w:val="18"/>
              </w:rPr>
              <w:t>协助主要负责人履行本单位特种设备安全的领导职责，确保本单位特种设备的安全使用；</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(2)</w:t>
            </w:r>
            <w:r>
              <w:rPr>
                <w:rFonts w:ascii="Times New Roman" w:cs="Times New Roman"/>
                <w:color w:val="auto"/>
                <w:sz w:val="18"/>
                <w:szCs w:val="18"/>
              </w:rPr>
              <w:t>宣传、贯彻《中华人民共和国特种设备安全法》以及有关法律、法规、规章和安全技术规范；</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组织制定本单位特种设备安全管理制度，落实特种设备安全管理机构设置、安全管理员配备；</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cs="Times New Roman"/>
                <w:color w:val="auto"/>
                <w:sz w:val="18"/>
                <w:szCs w:val="18"/>
              </w:rPr>
              <w:t>组织制定特种设备事故应急专项预案</w:t>
            </w:r>
            <w:r>
              <w:rPr>
                <w:rFonts w:ascii="Times New Roman" w:hAnsi="Times New Roman" w:cs="Times New Roman"/>
                <w:color w:val="auto"/>
                <w:sz w:val="18"/>
                <w:szCs w:val="18"/>
              </w:rPr>
              <w:t>,</w:t>
            </w:r>
            <w:r>
              <w:rPr>
                <w:rFonts w:ascii="Times New Roman" w:cs="Times New Roman"/>
                <w:color w:val="auto"/>
                <w:sz w:val="18"/>
                <w:szCs w:val="18"/>
              </w:rPr>
              <w:t>并且定期组织演练；</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(5)</w:t>
            </w:r>
            <w:r>
              <w:rPr>
                <w:rFonts w:ascii="Times New Roman" w:cs="Times New Roman"/>
                <w:color w:val="auto"/>
                <w:sz w:val="18"/>
                <w:szCs w:val="18"/>
              </w:rPr>
              <w:t>对本单位特种设备安全管理工作实施情况进行检查；</w:t>
            </w:r>
          </w:p>
          <w:p>
            <w:pPr>
              <w:pStyle w:val="10"/>
              <w:tabs>
                <w:tab w:val="left" w:pos="317"/>
              </w:tabs>
              <w:snapToGrid w:val="0"/>
              <w:spacing w:line="240" w:lineRule="auto"/>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rPr>
              <w:t>(6)</w:t>
            </w:r>
            <w:r>
              <w:rPr>
                <w:rFonts w:ascii="Times New Roman" w:cs="Times New Roman"/>
                <w:color w:val="auto"/>
                <w:sz w:val="18"/>
                <w:szCs w:val="18"/>
              </w:rPr>
              <w:t>组织进行隐患排查</w:t>
            </w:r>
            <w:r>
              <w:rPr>
                <w:rFonts w:ascii="Times New Roman" w:hAnsi="Times New Roman" w:cs="Times New Roman"/>
                <w:color w:val="auto"/>
                <w:sz w:val="18"/>
                <w:szCs w:val="18"/>
              </w:rPr>
              <w:t>,</w:t>
            </w:r>
            <w:r>
              <w:rPr>
                <w:rFonts w:ascii="Times New Roman" w:cs="Times New Roman"/>
                <w:color w:val="auto"/>
                <w:sz w:val="18"/>
                <w:szCs w:val="18"/>
              </w:rPr>
              <w:t>并且提出处理意见；</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cs="Times New Roman"/>
                <w:color w:val="auto"/>
                <w:sz w:val="18"/>
                <w:szCs w:val="18"/>
                <w:lang w:eastAsia="zh-CN"/>
              </w:rPr>
              <w:t>7</w:t>
            </w:r>
            <w:r>
              <w:rPr>
                <w:rFonts w:ascii="Times New Roman" w:hAnsi="Times New Roman" w:cs="Times New Roman"/>
                <w:color w:val="auto"/>
                <w:sz w:val="18"/>
                <w:szCs w:val="18"/>
              </w:rPr>
              <w:t>)</w:t>
            </w:r>
            <w:r>
              <w:rPr>
                <w:rFonts w:ascii="Times New Roman" w:cs="Times New Roman"/>
                <w:color w:val="auto"/>
                <w:sz w:val="18"/>
                <w:szCs w:val="18"/>
              </w:rPr>
              <w:t>当安全管理员报告特种设备存在事故隐患应当停止使用时，立即作出停止使用特种设备的决定，并且及时报告本单位主要负责人。</w:t>
            </w:r>
          </w:p>
        </w:tc>
      </w:tr>
    </w:tbl>
    <w:p>
      <w:pPr>
        <w:pStyle w:val="2"/>
        <w:ind w:left="420"/>
        <w:rPr>
          <w:color w:val="auto"/>
        </w:rPr>
      </w:pPr>
      <w:r>
        <w:rPr>
          <w:color w:val="auto"/>
        </w:rPr>
        <w:br w:type="page"/>
      </w:r>
    </w:p>
    <w:p>
      <w:pPr>
        <w:snapToGrid w:val="0"/>
        <w:rPr>
          <w:rFonts w:ascii="Times New Roman" w:hAnsi="Times New Roman" w:cs="Times New Roman"/>
          <w:color w:val="auto"/>
          <w:sz w:val="18"/>
          <w:szCs w:val="18"/>
        </w:rPr>
      </w:pPr>
    </w:p>
    <w:tbl>
      <w:tblPr>
        <w:tblStyle w:val="8"/>
        <w:tblW w:w="14884" w:type="dxa"/>
        <w:tblInd w:w="-13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856"/>
        <w:gridCol w:w="562"/>
        <w:gridCol w:w="1002"/>
        <w:gridCol w:w="983"/>
        <w:gridCol w:w="114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25" w:hRule="exact"/>
        </w:trPr>
        <w:tc>
          <w:tcPr>
            <w:tcW w:w="856" w:type="dxa"/>
            <w:vMerge w:val="restart"/>
            <w:shd w:val="clear" w:color="auto" w:fill="FFFFFF"/>
            <w:noWrap/>
            <w:vAlign w:val="center"/>
          </w:tcPr>
          <w:p>
            <w:pPr>
              <w:pStyle w:val="10"/>
              <w:snapToGrid w:val="0"/>
              <w:spacing w:line="240" w:lineRule="auto"/>
              <w:jc w:val="center"/>
              <w:rPr>
                <w:rFonts w:hint="eastAsia" w:ascii="Times New Roman" w:hAnsi="黑体" w:eastAsia="黑体" w:cs="Times New Roman"/>
                <w:b/>
                <w:bCs w:val="0"/>
                <w:color w:val="auto"/>
                <w:sz w:val="18"/>
                <w:szCs w:val="18"/>
              </w:rPr>
            </w:pPr>
            <w:r>
              <w:rPr>
                <w:rFonts w:hint="eastAsia" w:ascii="Times New Roman" w:hAnsi="黑体" w:eastAsia="黑体" w:cs="Times New Roman"/>
                <w:b/>
                <w:bCs w:val="0"/>
                <w:color w:val="auto"/>
                <w:sz w:val="18"/>
                <w:szCs w:val="18"/>
              </w:rPr>
              <w:t>排查内容</w:t>
            </w:r>
          </w:p>
        </w:tc>
        <w:tc>
          <w:tcPr>
            <w:tcW w:w="562" w:type="dxa"/>
            <w:vMerge w:val="restart"/>
            <w:shd w:val="clear" w:color="auto" w:fill="FFFFFF"/>
            <w:noWrap/>
            <w:vAlign w:val="center"/>
          </w:tcPr>
          <w:p>
            <w:pPr>
              <w:pStyle w:val="10"/>
              <w:snapToGrid w:val="0"/>
              <w:spacing w:line="240" w:lineRule="auto"/>
              <w:jc w:val="center"/>
              <w:rPr>
                <w:rFonts w:hint="eastAsia" w:ascii="Times New Roman" w:hAnsi="黑体" w:eastAsia="黑体" w:cs="Times New Roman"/>
                <w:b/>
                <w:bCs w:val="0"/>
                <w:color w:val="auto"/>
                <w:sz w:val="18"/>
                <w:szCs w:val="18"/>
              </w:rPr>
            </w:pPr>
            <w:r>
              <w:rPr>
                <w:rFonts w:hint="eastAsia" w:ascii="Times New Roman" w:hAnsi="黑体" w:eastAsia="黑体" w:cs="Times New Roman"/>
                <w:b/>
                <w:bCs w:val="0"/>
                <w:color w:val="auto"/>
                <w:sz w:val="18"/>
                <w:szCs w:val="18"/>
              </w:rPr>
              <w:t>排查 时间</w:t>
            </w:r>
          </w:p>
        </w:tc>
        <w:tc>
          <w:tcPr>
            <w:tcW w:w="1985" w:type="dxa"/>
            <w:gridSpan w:val="2"/>
            <w:shd w:val="clear" w:color="auto" w:fill="FFFFFF"/>
            <w:noWrap/>
            <w:vAlign w:val="center"/>
          </w:tcPr>
          <w:p>
            <w:pPr>
              <w:pStyle w:val="10"/>
              <w:snapToGrid w:val="0"/>
              <w:spacing w:line="240" w:lineRule="auto"/>
              <w:jc w:val="center"/>
              <w:rPr>
                <w:rFonts w:hint="eastAsia" w:ascii="Times New Roman" w:hAnsi="黑体" w:eastAsia="黑体" w:cs="Times New Roman"/>
                <w:b/>
                <w:bCs w:val="0"/>
                <w:color w:val="auto"/>
                <w:sz w:val="18"/>
                <w:szCs w:val="18"/>
              </w:rPr>
            </w:pPr>
            <w:r>
              <w:rPr>
                <w:rFonts w:hint="eastAsia" w:ascii="Times New Roman" w:hAnsi="黑体" w:eastAsia="黑体" w:cs="Times New Roman"/>
                <w:b/>
                <w:bCs w:val="0"/>
                <w:color w:val="auto"/>
                <w:sz w:val="18"/>
                <w:szCs w:val="18"/>
              </w:rPr>
              <w:t>排查依据</w:t>
            </w:r>
          </w:p>
        </w:tc>
        <w:tc>
          <w:tcPr>
            <w:tcW w:w="11481" w:type="dxa"/>
            <w:vMerge w:val="restart"/>
            <w:shd w:val="clear" w:color="auto" w:fill="FFFFFF"/>
            <w:noWrap/>
            <w:vAlign w:val="center"/>
          </w:tcPr>
          <w:p>
            <w:pPr>
              <w:pStyle w:val="10"/>
              <w:snapToGrid w:val="0"/>
              <w:spacing w:line="240" w:lineRule="auto"/>
              <w:jc w:val="center"/>
              <w:rPr>
                <w:rFonts w:hint="eastAsia" w:ascii="Times New Roman" w:hAnsi="黑体" w:eastAsia="黑体" w:cs="Times New Roman"/>
                <w:b/>
                <w:bCs w:val="0"/>
                <w:color w:val="auto"/>
                <w:sz w:val="18"/>
                <w:szCs w:val="18"/>
              </w:rPr>
            </w:pPr>
            <w:r>
              <w:rPr>
                <w:rFonts w:hint="eastAsia" w:ascii="Times New Roman" w:hAnsi="黑体" w:eastAsia="黑体" w:cs="Times New Roman"/>
                <w:b/>
                <w:bCs w:val="0"/>
                <w:color w:val="auto"/>
                <w:sz w:val="18"/>
                <w:szCs w:val="18"/>
              </w:rPr>
              <w:t>排查要求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84" w:hRule="exact"/>
        </w:trPr>
        <w:tc>
          <w:tcPr>
            <w:tcW w:w="856"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562"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1002"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法规标准</w:t>
            </w:r>
          </w:p>
        </w:tc>
        <w:tc>
          <w:tcPr>
            <w:tcW w:w="983"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适用条款</w:t>
            </w:r>
          </w:p>
        </w:tc>
        <w:tc>
          <w:tcPr>
            <w:tcW w:w="11481" w:type="dxa"/>
            <w:vMerge w:val="continue"/>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539" w:hRule="exact"/>
        </w:trPr>
        <w:tc>
          <w:tcPr>
            <w:tcW w:w="856"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管理人</w:t>
            </w:r>
          </w:p>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员职责</w:t>
            </w:r>
          </w:p>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与配备</w:t>
            </w:r>
          </w:p>
        </w:tc>
        <w:tc>
          <w:tcPr>
            <w:tcW w:w="562"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每</w:t>
            </w:r>
            <w:r>
              <w:rPr>
                <w:rFonts w:ascii="Times New Roman" w:hAnsi="Times New Roman" w:cs="Times New Roman"/>
                <w:color w:val="auto"/>
                <w:sz w:val="18"/>
                <w:szCs w:val="18"/>
                <w:lang w:eastAsia="zh-CN"/>
              </w:rPr>
              <w:t>年</w:t>
            </w:r>
          </w:p>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一次</w:t>
            </w:r>
          </w:p>
        </w:tc>
        <w:tc>
          <w:tcPr>
            <w:tcW w:w="1002"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特种设备使用管理规则</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(TSG 08-2017)</w:t>
            </w:r>
          </w:p>
        </w:tc>
        <w:tc>
          <w:tcPr>
            <w:tcW w:w="98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2.4.1</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2.4.2</w:t>
            </w:r>
          </w:p>
        </w:tc>
        <w:tc>
          <w:tcPr>
            <w:tcW w:w="1148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2.2</w:t>
            </w:r>
            <w:r>
              <w:rPr>
                <w:rFonts w:ascii="Times New Roman" w:cs="Times New Roman"/>
                <w:color w:val="auto"/>
                <w:sz w:val="18"/>
                <w:szCs w:val="18"/>
              </w:rPr>
              <w:t>安全管理员</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2.2.1</w:t>
            </w:r>
            <w:r>
              <w:rPr>
                <w:rFonts w:ascii="Times New Roman" w:cs="Times New Roman"/>
                <w:color w:val="auto"/>
                <w:sz w:val="18"/>
                <w:szCs w:val="18"/>
              </w:rPr>
              <w:t>安全管理员职责</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特种设备安全管理员是指具体负责特种设备使用安全管理的人员。安全管理员的主要职责如下：</w:t>
            </w:r>
          </w:p>
          <w:p>
            <w:pPr>
              <w:pStyle w:val="10"/>
              <w:numPr>
                <w:ilvl w:val="0"/>
                <w:numId w:val="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组织建立特种设备安全技术档案；</w:t>
            </w:r>
          </w:p>
          <w:p>
            <w:pPr>
              <w:pStyle w:val="10"/>
              <w:numPr>
                <w:ilvl w:val="0"/>
                <w:numId w:val="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办理特种设备使用登记；</w:t>
            </w:r>
          </w:p>
          <w:p>
            <w:pPr>
              <w:pStyle w:val="10"/>
              <w:numPr>
                <w:ilvl w:val="0"/>
                <w:numId w:val="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组织制定特种设备操作规程；</w:t>
            </w:r>
          </w:p>
          <w:p>
            <w:pPr>
              <w:pStyle w:val="10"/>
              <w:numPr>
                <w:ilvl w:val="0"/>
                <w:numId w:val="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组织开展特种设备安全教育和技能培训；</w:t>
            </w:r>
          </w:p>
          <w:p>
            <w:pPr>
              <w:pStyle w:val="10"/>
              <w:numPr>
                <w:ilvl w:val="0"/>
                <w:numId w:val="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组织开展特种设备定期自行检查；</w:t>
            </w:r>
          </w:p>
          <w:p>
            <w:pPr>
              <w:pStyle w:val="10"/>
              <w:numPr>
                <w:ilvl w:val="0"/>
                <w:numId w:val="3"/>
              </w:numPr>
              <w:tabs>
                <w:tab w:val="left" w:pos="32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编制特种设备定期检验计划，督促落实定期检验和隐患治理工作；</w:t>
            </w:r>
          </w:p>
          <w:p>
            <w:pPr>
              <w:pStyle w:val="10"/>
              <w:numPr>
                <w:ilvl w:val="0"/>
                <w:numId w:val="3"/>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按照规定报告特种设备事故，参加特种设备事故救援，协助进行事故调查和善后处理；</w:t>
            </w:r>
          </w:p>
          <w:p>
            <w:pPr>
              <w:pStyle w:val="10"/>
              <w:numPr>
                <w:ilvl w:val="0"/>
                <w:numId w:val="3"/>
              </w:numPr>
              <w:tabs>
                <w:tab w:val="left" w:pos="331"/>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发现特种设备事故隐患，立即进行处理，情况紧急时，可以决定停止使用特种设备</w:t>
            </w:r>
            <w:r>
              <w:rPr>
                <w:rFonts w:ascii="Times New Roman" w:hAnsi="Times New Roman" w:cs="Times New Roman"/>
                <w:color w:val="auto"/>
                <w:sz w:val="18"/>
                <w:szCs w:val="18"/>
              </w:rPr>
              <w:t>,</w:t>
            </w:r>
            <w:r>
              <w:rPr>
                <w:rFonts w:ascii="Times New Roman" w:cs="Times New Roman"/>
                <w:color w:val="auto"/>
                <w:sz w:val="18"/>
                <w:szCs w:val="18"/>
              </w:rPr>
              <w:t>并且及时报告本单位安全管理负责人；</w:t>
            </w:r>
          </w:p>
          <w:p>
            <w:pPr>
              <w:pStyle w:val="10"/>
              <w:numPr>
                <w:ilvl w:val="0"/>
                <w:numId w:val="3"/>
              </w:numPr>
              <w:tabs>
                <w:tab w:val="left" w:pos="32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纠正和制止特种设备作业人员的违章行为。</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2.2.2</w:t>
            </w:r>
            <w:r>
              <w:rPr>
                <w:rFonts w:ascii="Times New Roman" w:cs="Times New Roman"/>
                <w:color w:val="auto"/>
                <w:sz w:val="18"/>
                <w:szCs w:val="18"/>
              </w:rPr>
              <w:t>安全管理员配备</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特种设备使用单位应当根据本单位特种设备的数量、特性等配备适当数量的安全管理员。按照本规则要求设置安全管理机构的使用单位以及符合下列条件之一的特种设备使用单位，应当配备专职安全管理员，并且取得相应的特种设备安全管理人员资格证书：</w:t>
            </w:r>
          </w:p>
          <w:p>
            <w:pPr>
              <w:pStyle w:val="10"/>
              <w:numPr>
                <w:ilvl w:val="0"/>
                <w:numId w:val="4"/>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使用额定工作压力大于或者等于</w:t>
            </w:r>
            <w:r>
              <w:rPr>
                <w:rFonts w:ascii="Times New Roman" w:hAnsi="Times New Roman" w:eastAsia="Times New Roman" w:cs="Times New Roman"/>
                <w:color w:val="auto"/>
                <w:sz w:val="18"/>
                <w:szCs w:val="18"/>
                <w:lang w:val="en-US" w:eastAsia="zh-CN" w:bidi="en-US"/>
              </w:rPr>
              <w:t>2.5 MPa</w:t>
            </w:r>
            <w:r>
              <w:rPr>
                <w:rFonts w:ascii="Times New Roman" w:cs="Times New Roman"/>
                <w:color w:val="auto"/>
                <w:sz w:val="18"/>
                <w:szCs w:val="18"/>
              </w:rPr>
              <w:t>锅炉的；</w:t>
            </w:r>
          </w:p>
          <w:p>
            <w:pPr>
              <w:pStyle w:val="10"/>
              <w:numPr>
                <w:ilvl w:val="0"/>
                <w:numId w:val="4"/>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w:t>
            </w:r>
            <w:r>
              <w:rPr>
                <w:rFonts w:ascii="Times New Roman" w:hAnsi="Times New Roman" w:eastAsia="Times New Roman" w:cs="Times New Roman"/>
                <w:color w:val="auto"/>
                <w:sz w:val="18"/>
                <w:szCs w:val="18"/>
              </w:rPr>
              <w:t>5</w:t>
            </w:r>
            <w:r>
              <w:rPr>
                <w:rFonts w:ascii="Times New Roman" w:cs="Times New Roman"/>
                <w:color w:val="auto"/>
                <w:sz w:val="18"/>
                <w:szCs w:val="18"/>
              </w:rPr>
              <w:t>台以上</w:t>
            </w:r>
            <w:r>
              <w:rPr>
                <w:rFonts w:ascii="Times New Roman" w:hAnsi="Times New Roman" w:cs="Times New Roman"/>
                <w:color w:val="auto"/>
                <w:sz w:val="18"/>
                <w:szCs w:val="18"/>
              </w:rPr>
              <w:t>(</w:t>
            </w:r>
            <w:r>
              <w:rPr>
                <w:rFonts w:ascii="Times New Roman" w:cs="Times New Roman"/>
                <w:color w:val="auto"/>
                <w:sz w:val="18"/>
                <w:szCs w:val="18"/>
              </w:rPr>
              <w:t>含</w:t>
            </w:r>
            <w:r>
              <w:rPr>
                <w:rFonts w:ascii="Times New Roman" w:hAnsi="Times New Roman" w:eastAsia="Times New Roman" w:cs="Times New Roman"/>
                <w:color w:val="auto"/>
                <w:sz w:val="18"/>
                <w:szCs w:val="18"/>
              </w:rPr>
              <w:t>5</w:t>
            </w:r>
            <w:r>
              <w:rPr>
                <w:rFonts w:ascii="Times New Roman" w:cs="Times New Roman"/>
                <w:color w:val="auto"/>
                <w:sz w:val="18"/>
                <w:szCs w:val="18"/>
              </w:rPr>
              <w:t>台</w:t>
            </w:r>
            <w:r>
              <w:rPr>
                <w:rFonts w:ascii="Times New Roman" w:hAnsi="Times New Roman" w:cs="Times New Roman"/>
                <w:color w:val="auto"/>
                <w:sz w:val="18"/>
                <w:szCs w:val="18"/>
              </w:rPr>
              <w:t>)</w:t>
            </w:r>
            <w:r>
              <w:rPr>
                <w:rFonts w:ascii="Times New Roman" w:cs="Times New Roman"/>
                <w:color w:val="auto"/>
                <w:sz w:val="18"/>
                <w:szCs w:val="18"/>
              </w:rPr>
              <w:t>第</w:t>
            </w:r>
            <w:r>
              <w:rPr>
                <w:rFonts w:ascii="Times New Roman" w:hAnsi="Times New Roman" w:eastAsia="Times New Roman" w:cs="Times New Roman"/>
                <w:color w:val="auto"/>
                <w:sz w:val="18"/>
                <w:szCs w:val="18"/>
                <w:lang w:val="en-US" w:eastAsia="zh-CN" w:bidi="en-US"/>
              </w:rPr>
              <w:t>m</w:t>
            </w:r>
            <w:r>
              <w:rPr>
                <w:rFonts w:ascii="Times New Roman" w:cs="Times New Roman"/>
                <w:color w:val="auto"/>
                <w:sz w:val="18"/>
                <w:szCs w:val="18"/>
              </w:rPr>
              <w:t>类固定式压力容器的；</w:t>
            </w:r>
          </w:p>
          <w:p>
            <w:pPr>
              <w:pStyle w:val="10"/>
              <w:numPr>
                <w:ilvl w:val="0"/>
                <w:numId w:val="4"/>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从事移动式压力容器或者气瓶充装的；</w:t>
            </w:r>
          </w:p>
          <w:p>
            <w:pPr>
              <w:pStyle w:val="10"/>
              <w:numPr>
                <w:ilvl w:val="0"/>
                <w:numId w:val="4"/>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w:t>
            </w:r>
            <w:r>
              <w:rPr>
                <w:rFonts w:ascii="Times New Roman" w:hAnsi="Times New Roman" w:eastAsia="Times New Roman" w:cs="Times New Roman"/>
                <w:color w:val="auto"/>
                <w:sz w:val="18"/>
                <w:szCs w:val="18"/>
              </w:rPr>
              <w:t>10</w:t>
            </w:r>
            <w:r>
              <w:rPr>
                <w:rFonts w:ascii="Times New Roman" w:cs="Times New Roman"/>
                <w:color w:val="auto"/>
                <w:sz w:val="18"/>
                <w:szCs w:val="18"/>
              </w:rPr>
              <w:t>公里以上</w:t>
            </w:r>
            <w:r>
              <w:rPr>
                <w:rFonts w:ascii="Times New Roman" w:hAnsi="Times New Roman" w:cs="Times New Roman"/>
                <w:color w:val="auto"/>
                <w:sz w:val="18"/>
                <w:szCs w:val="18"/>
              </w:rPr>
              <w:t>(</w:t>
            </w:r>
            <w:r>
              <w:rPr>
                <w:rFonts w:ascii="Times New Roman" w:cs="Times New Roman"/>
                <w:color w:val="auto"/>
                <w:sz w:val="18"/>
                <w:szCs w:val="18"/>
              </w:rPr>
              <w:t>含</w:t>
            </w:r>
            <w:r>
              <w:rPr>
                <w:rFonts w:ascii="Times New Roman" w:hAnsi="Times New Roman" w:eastAsia="Times New Roman" w:cs="Times New Roman"/>
                <w:color w:val="auto"/>
                <w:sz w:val="18"/>
                <w:szCs w:val="18"/>
              </w:rPr>
              <w:t>10</w:t>
            </w:r>
            <w:r>
              <w:rPr>
                <w:rFonts w:ascii="Times New Roman" w:cs="Times New Roman"/>
                <w:color w:val="auto"/>
                <w:sz w:val="18"/>
                <w:szCs w:val="18"/>
              </w:rPr>
              <w:t>公里</w:t>
            </w:r>
            <w:r>
              <w:rPr>
                <w:rFonts w:ascii="Times New Roman" w:hAnsi="Times New Roman" w:cs="Times New Roman"/>
                <w:color w:val="auto"/>
                <w:sz w:val="18"/>
                <w:szCs w:val="18"/>
              </w:rPr>
              <w:t>)</w:t>
            </w:r>
            <w:r>
              <w:rPr>
                <w:rFonts w:ascii="Times New Roman" w:cs="Times New Roman"/>
                <w:color w:val="auto"/>
                <w:sz w:val="18"/>
                <w:szCs w:val="18"/>
              </w:rPr>
              <w:t>工业管道的；</w:t>
            </w:r>
          </w:p>
          <w:p>
            <w:pPr>
              <w:pStyle w:val="10"/>
              <w:numPr>
                <w:ilvl w:val="0"/>
                <w:numId w:val="4"/>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使用移动式压力容器，或者客运拖牵索道，或者大型游乐设施的；</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(6)</w:t>
            </w:r>
            <w:r>
              <w:rPr>
                <w:rFonts w:ascii="Times New Roman" w:cs="Times New Roman"/>
                <w:color w:val="auto"/>
                <w:sz w:val="18"/>
                <w:szCs w:val="18"/>
              </w:rPr>
              <w:t>使用</w:t>
            </w:r>
            <w:r>
              <w:rPr>
                <w:rFonts w:ascii="Times New Roman" w:cs="Times New Roman"/>
                <w:color w:val="auto"/>
                <w:sz w:val="18"/>
                <w:szCs w:val="18"/>
                <w:lang w:eastAsia="zh-CN"/>
              </w:rPr>
              <w:t>的</w:t>
            </w:r>
            <w:r>
              <w:rPr>
                <w:rFonts w:ascii="Times New Roman" w:cs="Times New Roman"/>
                <w:color w:val="auto"/>
                <w:sz w:val="18"/>
                <w:szCs w:val="18"/>
              </w:rPr>
              <w:t>特种设备</w:t>
            </w:r>
            <w:r>
              <w:rPr>
                <w:rFonts w:ascii="Times New Roman" w:hAnsi="Times New Roman" w:cs="Times New Roman"/>
                <w:color w:val="auto"/>
                <w:sz w:val="18"/>
                <w:szCs w:val="18"/>
              </w:rPr>
              <w:t>(</w:t>
            </w:r>
            <w:r>
              <w:rPr>
                <w:rFonts w:ascii="Times New Roman" w:cs="Times New Roman"/>
                <w:color w:val="auto"/>
                <w:sz w:val="18"/>
                <w:szCs w:val="18"/>
              </w:rPr>
              <w:t>不含气瓶</w:t>
            </w:r>
            <w:r>
              <w:rPr>
                <w:rFonts w:ascii="Times New Roman" w:hAnsi="Times New Roman" w:cs="Times New Roman"/>
                <w:color w:val="auto"/>
                <w:sz w:val="18"/>
                <w:szCs w:val="18"/>
              </w:rPr>
              <w:t>)</w:t>
            </w:r>
            <w:r>
              <w:rPr>
                <w:rFonts w:ascii="Times New Roman" w:cs="Times New Roman"/>
                <w:color w:val="auto"/>
                <w:sz w:val="18"/>
                <w:szCs w:val="18"/>
              </w:rPr>
              <w:t>总量</w:t>
            </w:r>
            <w:r>
              <w:rPr>
                <w:rFonts w:ascii="Times New Roman" w:hAnsi="Times New Roman" w:eastAsia="Times New Roman" w:cs="Times New Roman"/>
                <w:color w:val="auto"/>
                <w:sz w:val="18"/>
                <w:szCs w:val="18"/>
              </w:rPr>
              <w:t>20</w:t>
            </w:r>
            <w:r>
              <w:rPr>
                <w:rFonts w:ascii="Times New Roman" w:cs="Times New Roman"/>
                <w:color w:val="auto"/>
                <w:sz w:val="18"/>
                <w:szCs w:val="18"/>
              </w:rPr>
              <w:t>台以上</w:t>
            </w:r>
            <w:r>
              <w:rPr>
                <w:rFonts w:ascii="Times New Roman" w:hAnsi="Times New Roman" w:cs="Times New Roman"/>
                <w:color w:val="auto"/>
                <w:sz w:val="18"/>
                <w:szCs w:val="18"/>
              </w:rPr>
              <w:t>(</w:t>
            </w:r>
            <w:r>
              <w:rPr>
                <w:rFonts w:ascii="Times New Roman" w:cs="Times New Roman"/>
                <w:color w:val="auto"/>
                <w:sz w:val="18"/>
                <w:szCs w:val="18"/>
              </w:rPr>
              <w:t>含</w:t>
            </w:r>
            <w:r>
              <w:rPr>
                <w:rFonts w:ascii="Times New Roman" w:hAnsi="Times New Roman" w:eastAsia="Times New Roman" w:cs="Times New Roman"/>
                <w:color w:val="auto"/>
                <w:sz w:val="18"/>
                <w:szCs w:val="18"/>
              </w:rPr>
              <w:t>20</w:t>
            </w:r>
            <w:r>
              <w:rPr>
                <w:rFonts w:ascii="Times New Roman" w:cs="Times New Roman"/>
                <w:color w:val="auto"/>
                <w:sz w:val="18"/>
                <w:szCs w:val="18"/>
              </w:rPr>
              <w:t>台</w:t>
            </w:r>
            <w:r>
              <w:rPr>
                <w:rFonts w:ascii="Times New Roman" w:hAnsi="Times New Roman" w:cs="Times New Roman"/>
                <w:color w:val="auto"/>
                <w:sz w:val="18"/>
                <w:szCs w:val="18"/>
              </w:rPr>
              <w:t>)</w:t>
            </w:r>
            <w:r>
              <w:rPr>
                <w:rFonts w:ascii="Times New Roman" w:cs="Times New Roman"/>
                <w:color w:val="auto"/>
                <w:sz w:val="18"/>
                <w:szCs w:val="18"/>
              </w:rPr>
              <w:t>的。</w:t>
            </w:r>
          </w:p>
          <w:p>
            <w:pPr>
              <w:pStyle w:val="10"/>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除前款规定以外的使用单位可以配备兼职安全管理员，也可以委托具有特种设备安全管理人员资格的人员负责使用管理，但是特种设备安全使用的责任主体仍然是使用单位。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038" w:hRule="exact"/>
        </w:trPr>
        <w:tc>
          <w:tcPr>
            <w:tcW w:w="856"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3" w:name="_Hlk53690394"/>
            <w:r>
              <w:rPr>
                <w:rFonts w:ascii="Times New Roman" w:cs="Times New Roman"/>
                <w:color w:val="auto"/>
                <w:sz w:val="18"/>
                <w:szCs w:val="18"/>
              </w:rPr>
              <w:t>作业人员职责与配备</w:t>
            </w:r>
            <w:bookmarkEnd w:id="3"/>
          </w:p>
        </w:tc>
        <w:tc>
          <w:tcPr>
            <w:tcW w:w="562"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002"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8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2.4.4</w:t>
            </w:r>
          </w:p>
        </w:tc>
        <w:tc>
          <w:tcPr>
            <w:tcW w:w="1148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cs="Times New Roman"/>
                <w:color w:val="auto"/>
                <w:sz w:val="18"/>
                <w:szCs w:val="18"/>
              </w:rPr>
              <w:t>作业人员职责</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特种设备作业人员应当取得相应的特种设备作业人员资格证书，其主要职责如下：</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w:t>
            </w:r>
            <w:r>
              <w:rPr>
                <w:rFonts w:ascii="Times New Roman" w:hAnsi="Times New Roman" w:cs="Times New Roman"/>
                <w:color w:val="auto"/>
                <w:sz w:val="18"/>
                <w:szCs w:val="18"/>
                <w:lang w:eastAsia="zh-CN"/>
              </w:rPr>
              <w:t>1</w:t>
            </w:r>
            <w:r>
              <w:rPr>
                <w:rFonts w:ascii="Times New Roman" w:hAnsi="Times New Roman" w:eastAsia="Times New Roman" w:cs="Times New Roman"/>
                <w:color w:val="auto"/>
                <w:sz w:val="18"/>
                <w:szCs w:val="18"/>
              </w:rPr>
              <w:t>)</w:t>
            </w:r>
            <w:r>
              <w:rPr>
                <w:rFonts w:ascii="Times New Roman" w:cs="Times New Roman"/>
                <w:color w:val="auto"/>
                <w:sz w:val="18"/>
                <w:szCs w:val="18"/>
              </w:rPr>
              <w:t>严格执行特种设备有关安全管理制度，并且按照操作规程进行操作；</w:t>
            </w:r>
          </w:p>
          <w:p>
            <w:pPr>
              <w:pStyle w:val="10"/>
              <w:numPr>
                <w:ilvl w:val="0"/>
                <w:numId w:val="5"/>
              </w:numPr>
              <w:tabs>
                <w:tab w:val="left" w:pos="32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按照规定填写作业、交接班等记录；</w:t>
            </w:r>
          </w:p>
          <w:p>
            <w:pPr>
              <w:pStyle w:val="10"/>
              <w:numPr>
                <w:ilvl w:val="0"/>
                <w:numId w:val="5"/>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参加安全教育和技能培训；</w:t>
            </w:r>
          </w:p>
          <w:p>
            <w:pPr>
              <w:pStyle w:val="10"/>
              <w:numPr>
                <w:ilvl w:val="0"/>
                <w:numId w:val="5"/>
              </w:numPr>
              <w:tabs>
                <w:tab w:val="left" w:pos="317"/>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进行经常性维护保养，对发现的异常情况及时处理，并且作出记录；</w:t>
            </w:r>
          </w:p>
          <w:p>
            <w:pPr>
              <w:pStyle w:val="10"/>
              <w:numPr>
                <w:ilvl w:val="0"/>
                <w:numId w:val="5"/>
              </w:numPr>
              <w:tabs>
                <w:tab w:val="left" w:pos="32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作业过程中发现事故隐患或者其他不安全因素，应当立即采取紧急措施，并且按照规定的程序向特种设备安全管理人员和单位有关负责人报告；</w:t>
            </w:r>
          </w:p>
          <w:p>
            <w:pPr>
              <w:pStyle w:val="10"/>
              <w:numPr>
                <w:ilvl w:val="0"/>
                <w:numId w:val="5"/>
              </w:numPr>
              <w:tabs>
                <w:tab w:val="left" w:pos="312"/>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参加应急演练，掌握相应的应急处置技能。</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锅炉作业人员应当严格执行锅炉节能管理制度，参加锅炉节能教育和技术培训。</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2</w:t>
            </w:r>
            <w:r>
              <w:rPr>
                <w:rFonts w:ascii="Times New Roman" w:cs="Times New Roman"/>
                <w:color w:val="auto"/>
                <w:sz w:val="18"/>
                <w:szCs w:val="18"/>
              </w:rPr>
              <w:t>作业人员配备</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特种设备使用单位应当根据本单位特种设备数量、特性等配备相应持证的特种设备作业人员，并且在使用特种设备时应当保证每班至少有一名持证的作业人员在岗。有关安全技术规范对特种设备作业人员有特殊规定的，从其规定。</w:t>
            </w:r>
          </w:p>
        </w:tc>
      </w:tr>
    </w:tbl>
    <w:p>
      <w:pPr>
        <w:snapToGrid w:val="0"/>
        <w:rPr>
          <w:rFonts w:ascii="Times New Roman" w:hAnsi="Times New Roman" w:cs="Times New Roman"/>
          <w:color w:val="auto"/>
          <w:sz w:val="18"/>
          <w:szCs w:val="18"/>
        </w:rPr>
      </w:pPr>
    </w:p>
    <w:tbl>
      <w:tblPr>
        <w:tblStyle w:val="8"/>
        <w:tblW w:w="14884" w:type="dxa"/>
        <w:tblInd w:w="-13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862"/>
        <w:gridCol w:w="556"/>
        <w:gridCol w:w="861"/>
        <w:gridCol w:w="840"/>
        <w:gridCol w:w="11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98" w:hRule="exact"/>
        </w:trPr>
        <w:tc>
          <w:tcPr>
            <w:tcW w:w="862"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排查内容</w:t>
            </w:r>
          </w:p>
        </w:tc>
        <w:tc>
          <w:tcPr>
            <w:tcW w:w="556"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rPr>
              <w:t>排查</w:t>
            </w:r>
          </w:p>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时间</w:t>
            </w:r>
          </w:p>
        </w:tc>
        <w:tc>
          <w:tcPr>
            <w:tcW w:w="1701" w:type="dxa"/>
            <w:gridSpan w:val="2"/>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排查依据</w:t>
            </w:r>
          </w:p>
        </w:tc>
        <w:tc>
          <w:tcPr>
            <w:tcW w:w="11765"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56" w:hRule="exact"/>
        </w:trPr>
        <w:tc>
          <w:tcPr>
            <w:tcW w:w="862"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556"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861"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法规标准</w:t>
            </w:r>
          </w:p>
        </w:tc>
        <w:tc>
          <w:tcPr>
            <w:tcW w:w="840"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适用条款</w:t>
            </w:r>
          </w:p>
        </w:tc>
        <w:tc>
          <w:tcPr>
            <w:tcW w:w="11765" w:type="dxa"/>
            <w:vMerge w:val="continue"/>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549" w:hRule="exact"/>
        </w:trPr>
        <w:tc>
          <w:tcPr>
            <w:tcW w:w="86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档案管理</w:t>
            </w:r>
          </w:p>
        </w:tc>
        <w:tc>
          <w:tcPr>
            <w:tcW w:w="556"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每</w:t>
            </w:r>
            <w:r>
              <w:rPr>
                <w:rFonts w:ascii="Times New Roman" w:hAnsi="Times New Roman" w:cs="Times New Roman"/>
                <w:color w:val="auto"/>
                <w:sz w:val="18"/>
                <w:szCs w:val="18"/>
                <w:lang w:eastAsia="zh-CN"/>
              </w:rPr>
              <w:t>年</w:t>
            </w:r>
            <w:r>
              <w:rPr>
                <w:rFonts w:ascii="Times New Roman" w:cs="Times New Roman"/>
                <w:color w:val="auto"/>
                <w:sz w:val="18"/>
                <w:szCs w:val="18"/>
              </w:rPr>
              <w:t>一次</w:t>
            </w:r>
          </w:p>
        </w:tc>
        <w:tc>
          <w:tcPr>
            <w:tcW w:w="861"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特种设备使用管理规则</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(TSG 08-2017)</w:t>
            </w:r>
          </w:p>
        </w:tc>
        <w:tc>
          <w:tcPr>
            <w:tcW w:w="84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2.5</w:t>
            </w:r>
          </w:p>
        </w:tc>
        <w:tc>
          <w:tcPr>
            <w:tcW w:w="11765" w:type="dxa"/>
            <w:shd w:val="clear" w:color="auto" w:fill="FFFFFF"/>
            <w:noWrap/>
            <w:vAlign w:val="center"/>
          </w:tcPr>
          <w:p>
            <w:pPr>
              <w:pStyle w:val="10"/>
              <w:tabs>
                <w:tab w:val="left" w:pos="336"/>
              </w:tabs>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使用单位应当逐台建立特种设备安全与节能技术档案。安全技术档案至少包括以下内容：</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cs="Times New Roman"/>
                <w:color w:val="auto"/>
                <w:sz w:val="18"/>
                <w:szCs w:val="18"/>
                <w:lang w:eastAsia="zh-CN"/>
              </w:rPr>
              <w:t>1</w:t>
            </w:r>
            <w:r>
              <w:rPr>
                <w:rFonts w:ascii="Times New Roman" w:hAnsi="Times New Roman" w:eastAsia="Times New Roman" w:cs="Times New Roman"/>
                <w:color w:val="auto"/>
                <w:sz w:val="18"/>
                <w:szCs w:val="18"/>
              </w:rPr>
              <w:t>)</w:t>
            </w:r>
            <w:r>
              <w:rPr>
                <w:rFonts w:ascii="Times New Roman" w:cs="Times New Roman"/>
                <w:color w:val="auto"/>
                <w:sz w:val="18"/>
                <w:szCs w:val="18"/>
              </w:rPr>
              <w:t>使用登记证；</w:t>
            </w:r>
          </w:p>
          <w:p>
            <w:pPr>
              <w:pStyle w:val="10"/>
              <w:tabs>
                <w:tab w:val="left" w:pos="336"/>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w:t>
            </w:r>
            <w:r>
              <w:rPr>
                <w:rFonts w:ascii="Times New Roman" w:hAnsi="Times New Roman" w:cs="Times New Roman"/>
                <w:color w:val="auto"/>
                <w:sz w:val="18"/>
                <w:szCs w:val="18"/>
                <w:lang w:eastAsia="zh-CN"/>
              </w:rPr>
              <w:t>2</w:t>
            </w:r>
            <w:r>
              <w:rPr>
                <w:rFonts w:ascii="Times New Roman" w:hAnsi="Times New Roman" w:eastAsia="Times New Roman" w:cs="Times New Roman"/>
                <w:color w:val="auto"/>
                <w:sz w:val="18"/>
                <w:szCs w:val="18"/>
              </w:rPr>
              <w:t>)</w:t>
            </w:r>
            <w:r>
              <w:rPr>
                <w:rFonts w:ascii="Times New Roman" w:cs="Times New Roman"/>
                <w:color w:val="auto"/>
                <w:sz w:val="18"/>
                <w:szCs w:val="18"/>
              </w:rPr>
              <w:t>《特种设备使用登记表》；</w:t>
            </w:r>
          </w:p>
          <w:p>
            <w:pPr>
              <w:pStyle w:val="10"/>
              <w:tabs>
                <w:tab w:val="left" w:pos="33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特种设备设计、制造技术资料和文件</w:t>
            </w:r>
            <w:r>
              <w:rPr>
                <w:rFonts w:ascii="Times New Roman" w:hAnsi="Times New Roman" w:cs="Times New Roman"/>
                <w:color w:val="auto"/>
                <w:sz w:val="18"/>
                <w:szCs w:val="18"/>
              </w:rPr>
              <w:t>,</w:t>
            </w:r>
            <w:r>
              <w:rPr>
                <w:rFonts w:ascii="Times New Roman" w:cs="Times New Roman"/>
                <w:color w:val="auto"/>
                <w:sz w:val="18"/>
                <w:szCs w:val="18"/>
              </w:rPr>
              <w:t>包括设计文件、产品质量合格证明</w:t>
            </w:r>
            <w:r>
              <w:rPr>
                <w:rFonts w:ascii="Times New Roman" w:hAnsi="Times New Roman" w:cs="Times New Roman"/>
                <w:color w:val="auto"/>
                <w:sz w:val="18"/>
                <w:szCs w:val="18"/>
              </w:rPr>
              <w:t>(</w:t>
            </w:r>
            <w:r>
              <w:rPr>
                <w:rFonts w:ascii="Times New Roman" w:cs="Times New Roman"/>
                <w:color w:val="auto"/>
                <w:sz w:val="18"/>
                <w:szCs w:val="18"/>
              </w:rPr>
              <w:t>含合格证及其数据表、质量证明书</w:t>
            </w:r>
            <w:r>
              <w:rPr>
                <w:rFonts w:ascii="Times New Roman" w:hAnsi="Times New Roman" w:cs="Times New Roman"/>
                <w:color w:val="auto"/>
                <w:sz w:val="18"/>
                <w:szCs w:val="18"/>
              </w:rPr>
              <w:t>)</w:t>
            </w:r>
            <w:r>
              <w:rPr>
                <w:rFonts w:ascii="Times New Roman" w:cs="Times New Roman"/>
                <w:color w:val="auto"/>
                <w:sz w:val="18"/>
                <w:szCs w:val="18"/>
              </w:rPr>
              <w:t>、</w:t>
            </w:r>
            <w:r>
              <w:rPr>
                <w:rFonts w:ascii="Times New Roman" w:hAnsi="Times New Roman" w:cs="Times New Roman"/>
                <w:color w:val="auto"/>
                <w:sz w:val="18"/>
                <w:szCs w:val="18"/>
              </w:rPr>
              <w:t xml:space="preserve"> </w:t>
            </w:r>
            <w:r>
              <w:rPr>
                <w:rFonts w:ascii="Times New Roman" w:cs="Times New Roman"/>
                <w:color w:val="auto"/>
                <w:sz w:val="18"/>
                <w:szCs w:val="18"/>
              </w:rPr>
              <w:t>安装及使用维护保养说明、监督检验证书、型式试验证书等；</w:t>
            </w:r>
          </w:p>
          <w:p>
            <w:pPr>
              <w:pStyle w:val="10"/>
              <w:tabs>
                <w:tab w:val="left" w:pos="33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cs="Times New Roman"/>
                <w:color w:val="auto"/>
                <w:sz w:val="18"/>
                <w:szCs w:val="18"/>
              </w:rPr>
              <w:t>特种设备安装、改造和修理的方案、图样</w:t>
            </w:r>
            <w:r>
              <w:rPr>
                <w:rFonts w:ascii="Times New Roman" w:hAnsi="Times New Roman" w:cs="Times New Roman"/>
                <w:color w:val="auto"/>
                <w:sz w:val="18"/>
                <w:szCs w:val="18"/>
              </w:rPr>
              <w:t>(</w:t>
            </w:r>
            <w:r>
              <w:rPr>
                <w:rFonts w:ascii="Times New Roman" w:cs="Times New Roman"/>
                <w:color w:val="auto"/>
                <w:sz w:val="18"/>
                <w:szCs w:val="18"/>
              </w:rPr>
              <w:t>包括压力管道单线图或轴测图</w:t>
            </w:r>
            <w:r>
              <w:rPr>
                <w:rFonts w:ascii="Times New Roman" w:hAnsi="Times New Roman" w:cs="Times New Roman"/>
                <w:color w:val="auto"/>
                <w:sz w:val="18"/>
                <w:szCs w:val="18"/>
              </w:rPr>
              <w:t>)</w:t>
            </w:r>
            <w:r>
              <w:rPr>
                <w:rFonts w:ascii="Times New Roman" w:cs="Times New Roman"/>
                <w:color w:val="auto"/>
                <w:sz w:val="18"/>
                <w:szCs w:val="18"/>
              </w:rPr>
              <w:t>、材料质量证明书和施工质量证明文件、安装改造修理监督检验报告、验收报告等技术资料；</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5)</w:t>
            </w:r>
            <w:r>
              <w:rPr>
                <w:rFonts w:ascii="Times New Roman" w:cs="Times New Roman"/>
                <w:color w:val="auto"/>
                <w:sz w:val="18"/>
                <w:szCs w:val="18"/>
              </w:rPr>
              <w:t>特种设备定期自行检查记录和定期检验报告；</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(6)</w:t>
            </w:r>
            <w:r>
              <w:rPr>
                <w:rFonts w:ascii="Times New Roman" w:cs="Times New Roman"/>
                <w:color w:val="auto"/>
                <w:sz w:val="18"/>
                <w:szCs w:val="18"/>
              </w:rPr>
              <w:t>特种设备日常使用状况记录；</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w:t>
            </w:r>
            <w:r>
              <w:rPr>
                <w:rFonts w:ascii="Times New Roman" w:hAnsi="Times New Roman" w:eastAsia="Times New Roman" w:cs="Times New Roman"/>
                <w:color w:val="auto"/>
                <w:sz w:val="18"/>
                <w:szCs w:val="18"/>
                <w:lang w:val="en-US" w:eastAsia="zh-CN" w:bidi="en-US"/>
              </w:rPr>
              <w:t>7)</w:t>
            </w:r>
            <w:r>
              <w:rPr>
                <w:rFonts w:ascii="Times New Roman" w:cs="Times New Roman"/>
                <w:color w:val="auto"/>
                <w:sz w:val="18"/>
                <w:szCs w:val="18"/>
              </w:rPr>
              <w:t>特种设备及其附属仪器仪表维护保养记录；</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8)</w:t>
            </w:r>
            <w:r>
              <w:rPr>
                <w:rFonts w:ascii="Times New Roman" w:cs="Times New Roman"/>
                <w:color w:val="auto"/>
                <w:sz w:val="18"/>
                <w:szCs w:val="18"/>
              </w:rPr>
              <w:t>特种设备安全附件和安全保护装置校验、检修、更换记录和有关报告；</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9)</w:t>
            </w:r>
            <w:r>
              <w:rPr>
                <w:rFonts w:ascii="Times New Roman" w:cs="Times New Roman"/>
                <w:color w:val="auto"/>
                <w:sz w:val="18"/>
                <w:szCs w:val="18"/>
              </w:rPr>
              <w:t>特种设备运行故障和事故记录</w:t>
            </w:r>
            <w:r>
              <w:rPr>
                <w:rFonts w:ascii="Times New Roman" w:hAnsi="Times New Roman" w:cs="Times New Roman"/>
                <w:color w:val="auto"/>
                <w:sz w:val="18"/>
                <w:szCs w:val="18"/>
              </w:rPr>
              <w:t>(</w:t>
            </w:r>
            <w:r>
              <w:rPr>
                <w:rFonts w:ascii="Times New Roman" w:cs="Times New Roman"/>
                <w:color w:val="auto"/>
                <w:sz w:val="18"/>
                <w:szCs w:val="18"/>
              </w:rPr>
              <w:t>报告</w:t>
            </w:r>
            <w:r>
              <w:rPr>
                <w:rFonts w:ascii="Times New Roman" w:hAnsi="Times New Roman" w:cs="Times New Roman"/>
                <w:color w:val="auto"/>
                <w:sz w:val="18"/>
                <w:szCs w:val="18"/>
              </w:rPr>
              <w:t>)</w:t>
            </w:r>
            <w:r>
              <w:rPr>
                <w:rFonts w:ascii="Times New Roman" w:cs="Times New Roman"/>
                <w:color w:val="auto"/>
                <w:sz w:val="18"/>
                <w:szCs w:val="18"/>
              </w:rPr>
              <w:t>及事故处理报告。</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特种设备节能技术档案包括锅炉能效测试报告、高耗能特种设备节能改造技术资料等。</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使用单位应当在设备使用地保存上述</w:t>
            </w: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w:t>
            </w:r>
            <w:r>
              <w:rPr>
                <w:rFonts w:ascii="Times New Roman" w:cs="Times New Roman"/>
                <w:color w:val="auto"/>
                <w:sz w:val="18"/>
                <w:szCs w:val="18"/>
              </w:rPr>
              <w:t>、</w:t>
            </w: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w:t>
            </w:r>
            <w:r>
              <w:rPr>
                <w:rFonts w:ascii="Times New Roman" w:cs="Times New Roman"/>
                <w:color w:val="auto"/>
                <w:sz w:val="18"/>
                <w:szCs w:val="18"/>
              </w:rPr>
              <w:t>、</w:t>
            </w: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5</w:t>
            </w:r>
            <w:r>
              <w:rPr>
                <w:rFonts w:ascii="Times New Roman" w:hAnsi="Times New Roman" w:cs="Times New Roman"/>
                <w:color w:val="auto"/>
                <w:sz w:val="18"/>
                <w:szCs w:val="18"/>
              </w:rPr>
              <w:t>)</w:t>
            </w:r>
            <w:r>
              <w:rPr>
                <w:rFonts w:ascii="Times New Roman" w:cs="Times New Roman"/>
                <w:color w:val="auto"/>
                <w:sz w:val="18"/>
                <w:szCs w:val="18"/>
              </w:rPr>
              <w:t>、</w:t>
            </w: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6</w:t>
            </w:r>
            <w:r>
              <w:rPr>
                <w:rFonts w:ascii="Times New Roman" w:hAnsi="Times New Roman" w:cs="Times New Roman"/>
                <w:color w:val="auto"/>
                <w:sz w:val="18"/>
                <w:szCs w:val="18"/>
              </w:rPr>
              <w:t>)</w:t>
            </w:r>
            <w:r>
              <w:rPr>
                <w:rFonts w:ascii="Times New Roman" w:cs="Times New Roman"/>
                <w:color w:val="auto"/>
                <w:sz w:val="18"/>
                <w:szCs w:val="18"/>
              </w:rPr>
              <w:t>、</w:t>
            </w: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7</w:t>
            </w:r>
            <w:r>
              <w:rPr>
                <w:rFonts w:ascii="Times New Roman" w:hAnsi="Times New Roman" w:cs="Times New Roman"/>
                <w:color w:val="auto"/>
                <w:sz w:val="18"/>
                <w:szCs w:val="18"/>
              </w:rPr>
              <w:t>)</w:t>
            </w:r>
            <w:r>
              <w:rPr>
                <w:rFonts w:ascii="Times New Roman" w:cs="Times New Roman"/>
                <w:color w:val="auto"/>
                <w:sz w:val="18"/>
                <w:szCs w:val="18"/>
              </w:rPr>
              <w:t>、</w:t>
            </w: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8</w:t>
            </w:r>
            <w:r>
              <w:rPr>
                <w:rFonts w:ascii="Times New Roman" w:hAnsi="Times New Roman" w:cs="Times New Roman"/>
                <w:color w:val="auto"/>
                <w:sz w:val="18"/>
                <w:szCs w:val="18"/>
              </w:rPr>
              <w:t>)</w:t>
            </w:r>
            <w:r>
              <w:rPr>
                <w:rFonts w:ascii="Times New Roman" w:cs="Times New Roman"/>
                <w:color w:val="auto"/>
                <w:sz w:val="18"/>
                <w:szCs w:val="18"/>
              </w:rPr>
              <w:t>、</w:t>
            </w: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9</w:t>
            </w:r>
            <w:r>
              <w:rPr>
                <w:rFonts w:ascii="Times New Roman" w:hAnsi="Times New Roman" w:cs="Times New Roman"/>
                <w:color w:val="auto"/>
                <w:sz w:val="18"/>
                <w:szCs w:val="18"/>
              </w:rPr>
              <w:t>)</w:t>
            </w:r>
            <w:r>
              <w:rPr>
                <w:rFonts w:ascii="Times New Roman" w:cs="Times New Roman"/>
                <w:color w:val="auto"/>
                <w:sz w:val="18"/>
                <w:szCs w:val="18"/>
              </w:rPr>
              <w:t>规定的资料和特种设备节能技术档案的原件或者复印件，以便备查。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570" w:hRule="exact"/>
        </w:trPr>
        <w:tc>
          <w:tcPr>
            <w:tcW w:w="86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4" w:name="_Hlk53690422"/>
            <w:r>
              <w:rPr>
                <w:rFonts w:ascii="Times New Roman" w:cs="Times New Roman"/>
                <w:color w:val="auto"/>
                <w:sz w:val="18"/>
                <w:szCs w:val="18"/>
              </w:rPr>
              <w:t>管理制度建立</w:t>
            </w:r>
            <w:bookmarkEnd w:id="4"/>
          </w:p>
        </w:tc>
        <w:tc>
          <w:tcPr>
            <w:tcW w:w="556"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861"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84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2.6.</w:t>
            </w:r>
            <w:r>
              <w:rPr>
                <w:rFonts w:ascii="Times New Roman" w:hAnsi="Times New Roman" w:eastAsia="Times New Roman" w:cs="Times New Roman"/>
                <w:color w:val="auto"/>
                <w:sz w:val="18"/>
                <w:szCs w:val="18"/>
              </w:rPr>
              <w:t>1</w:t>
            </w:r>
          </w:p>
        </w:tc>
        <w:tc>
          <w:tcPr>
            <w:tcW w:w="117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特种设备使用单位应当按照特种设备相关法律、法规、规章和安全技术规范的要求，建立健全特种设备使用安全节能管理制度。</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管理制度至少包括以下内容：</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cs="Times New Roman"/>
                <w:color w:val="auto"/>
                <w:sz w:val="18"/>
                <w:szCs w:val="18"/>
              </w:rPr>
              <w:t>特种设备安全管理机构</w:t>
            </w:r>
            <w:r>
              <w:rPr>
                <w:rFonts w:ascii="Times New Roman" w:hAnsi="Times New Roman" w:cs="Times New Roman"/>
                <w:color w:val="auto"/>
                <w:sz w:val="18"/>
                <w:szCs w:val="18"/>
              </w:rPr>
              <w:t>(</w:t>
            </w:r>
            <w:r>
              <w:rPr>
                <w:rFonts w:ascii="Times New Roman" w:cs="Times New Roman"/>
                <w:color w:val="auto"/>
                <w:sz w:val="18"/>
                <w:szCs w:val="18"/>
              </w:rPr>
              <w:t>需要设置时</w:t>
            </w:r>
            <w:r>
              <w:rPr>
                <w:rFonts w:ascii="Times New Roman" w:hAnsi="Times New Roman" w:cs="Times New Roman"/>
                <w:color w:val="auto"/>
                <w:sz w:val="18"/>
                <w:szCs w:val="18"/>
              </w:rPr>
              <w:t>)</w:t>
            </w:r>
            <w:r>
              <w:rPr>
                <w:rFonts w:ascii="Times New Roman" w:cs="Times New Roman"/>
                <w:color w:val="auto"/>
                <w:sz w:val="18"/>
                <w:szCs w:val="18"/>
              </w:rPr>
              <w:t>和相关人员岗位职责；</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(2)</w:t>
            </w:r>
            <w:r>
              <w:rPr>
                <w:rFonts w:ascii="Times New Roman" w:cs="Times New Roman"/>
                <w:color w:val="auto"/>
                <w:sz w:val="18"/>
                <w:szCs w:val="18"/>
              </w:rPr>
              <w:t>特种设备经常性维护保养、定期自行检查和有关记录制度；</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特种设备使用登记、定期检验、锅炉能效测试申请实施管理制度；</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cs="Times New Roman"/>
                <w:color w:val="auto"/>
                <w:sz w:val="18"/>
                <w:szCs w:val="18"/>
              </w:rPr>
              <w:t>特种设备隐患排查治理制度；</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5)</w:t>
            </w:r>
            <w:r>
              <w:rPr>
                <w:rFonts w:ascii="Times New Roman" w:cs="Times New Roman"/>
                <w:color w:val="auto"/>
                <w:sz w:val="18"/>
                <w:szCs w:val="18"/>
              </w:rPr>
              <w:t>特种设备安全管理人员与作业人员管理和培训制度；</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(6)</w:t>
            </w:r>
            <w:r>
              <w:rPr>
                <w:rFonts w:ascii="Times New Roman" w:cs="Times New Roman"/>
                <w:color w:val="auto"/>
                <w:sz w:val="18"/>
                <w:szCs w:val="18"/>
              </w:rPr>
              <w:t>特种设备采购、安装、改造、修理、报废等管理制度；</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7)</w:t>
            </w:r>
            <w:r>
              <w:rPr>
                <w:rFonts w:ascii="Times New Roman" w:cs="Times New Roman"/>
                <w:color w:val="auto"/>
                <w:sz w:val="18"/>
                <w:szCs w:val="18"/>
              </w:rPr>
              <w:t>特种设备应急救援管理制度；</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8)</w:t>
            </w:r>
            <w:r>
              <w:rPr>
                <w:rFonts w:ascii="Times New Roman" w:cs="Times New Roman"/>
                <w:color w:val="auto"/>
                <w:sz w:val="18"/>
                <w:szCs w:val="18"/>
              </w:rPr>
              <w:t>特种设备事故报告和处理制度；</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9)</w:t>
            </w:r>
            <w:r>
              <w:rPr>
                <w:rFonts w:ascii="Times New Roman" w:cs="Times New Roman"/>
                <w:color w:val="auto"/>
                <w:sz w:val="18"/>
                <w:szCs w:val="18"/>
              </w:rPr>
              <w:t>高耗能特种设备节能管理制度。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95" w:hRule="exact"/>
        </w:trPr>
        <w:tc>
          <w:tcPr>
            <w:tcW w:w="86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5" w:name="_Hlk53690440"/>
            <w:r>
              <w:rPr>
                <w:rFonts w:ascii="Times New Roman" w:cs="Times New Roman"/>
                <w:color w:val="auto"/>
                <w:sz w:val="18"/>
                <w:szCs w:val="18"/>
              </w:rPr>
              <w:t>操作规程制定</w:t>
            </w:r>
            <w:bookmarkEnd w:id="5"/>
          </w:p>
        </w:tc>
        <w:tc>
          <w:tcPr>
            <w:tcW w:w="556"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861"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84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2.6.2</w:t>
            </w:r>
          </w:p>
        </w:tc>
        <w:tc>
          <w:tcPr>
            <w:tcW w:w="117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使用单位应当根据所使用设备运行特点等，制定操作规程。操作规程一般包括设备运行参数、操作程序和方法、维护保养妥求、安全注意事项、巡回检查和异常情况处置规定，以及相应记录等。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887" w:hRule="exact"/>
        </w:trPr>
        <w:tc>
          <w:tcPr>
            <w:tcW w:w="86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维护保养与检查</w:t>
            </w:r>
          </w:p>
        </w:tc>
        <w:tc>
          <w:tcPr>
            <w:tcW w:w="5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6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4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2.7</w:t>
            </w:r>
          </w:p>
        </w:tc>
        <w:tc>
          <w:tcPr>
            <w:tcW w:w="117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cs="Times New Roman"/>
                <w:color w:val="auto"/>
                <w:sz w:val="18"/>
                <w:szCs w:val="18"/>
              </w:rPr>
              <w:t>经常性维护保养</w:t>
            </w:r>
            <w:r>
              <w:rPr>
                <w:rFonts w:ascii="Times New Roman" w:cs="Times New Roman"/>
                <w:color w:val="auto"/>
                <w:sz w:val="18"/>
                <w:szCs w:val="18"/>
                <w:lang w:eastAsia="zh-CN"/>
              </w:rPr>
              <w:t>：</w:t>
            </w:r>
            <w:r>
              <w:rPr>
                <w:rFonts w:ascii="Times New Roman" w:cs="Times New Roman"/>
                <w:color w:val="auto"/>
                <w:sz w:val="18"/>
                <w:szCs w:val="18"/>
              </w:rPr>
              <w:t>使用单位应当根据设备特点和使用状况对特种设备进行经常性维护保养，维护保养应当符合有关安全技术规范和</w:t>
            </w:r>
            <w:r>
              <w:rPr>
                <w:rFonts w:ascii="Times New Roman" w:cs="Times New Roman"/>
                <w:color w:val="auto"/>
                <w:sz w:val="18"/>
                <w:szCs w:val="18"/>
                <w:lang w:val="zh-CN" w:eastAsia="zh-CN" w:bidi="zh-CN"/>
              </w:rPr>
              <w:t>产品</w:t>
            </w:r>
            <w:r>
              <w:rPr>
                <w:rFonts w:ascii="Times New Roman" w:cs="Times New Roman"/>
                <w:color w:val="auto"/>
                <w:sz w:val="18"/>
                <w:szCs w:val="18"/>
              </w:rPr>
              <w:t>使用维护保养说明的要求。对发现的异常情况及时处理，并且作出记录，保证在用特种设备始终处于正常使用状态。</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法律对维护保养单位有专门资质要求的</w:t>
            </w:r>
            <w:r>
              <w:rPr>
                <w:rFonts w:ascii="Times New Roman" w:hAnsi="Times New Roman" w:cs="Times New Roman"/>
                <w:color w:val="auto"/>
                <w:sz w:val="18"/>
                <w:szCs w:val="18"/>
              </w:rPr>
              <w:t>,</w:t>
            </w:r>
            <w:r>
              <w:rPr>
                <w:rFonts w:ascii="Times New Roman" w:cs="Times New Roman"/>
                <w:color w:val="auto"/>
                <w:sz w:val="18"/>
                <w:szCs w:val="18"/>
              </w:rPr>
              <w:t>使用单位应当选择具有相应资质的单位实施维护保养。鼓励其他特种设备使用单位选择具有相应能力的专业化、社会化维护保养单位进行维护保养。</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2</w:t>
            </w:r>
            <w:r>
              <w:rPr>
                <w:rFonts w:ascii="Times New Roman" w:cs="Times New Roman"/>
                <w:color w:val="auto"/>
                <w:sz w:val="18"/>
                <w:szCs w:val="18"/>
              </w:rPr>
              <w:t>定期自行检查</w:t>
            </w:r>
            <w:r>
              <w:rPr>
                <w:rFonts w:ascii="Times New Roman" w:cs="Times New Roman"/>
                <w:color w:val="auto"/>
                <w:sz w:val="18"/>
                <w:szCs w:val="18"/>
                <w:lang w:eastAsia="zh-CN"/>
              </w:rPr>
              <w:t>：</w:t>
            </w:r>
            <w:r>
              <w:rPr>
                <w:rFonts w:ascii="Times New Roman" w:cs="Times New Roman"/>
                <w:color w:val="auto"/>
                <w:sz w:val="18"/>
                <w:szCs w:val="18"/>
              </w:rPr>
              <w:t>为保证特种设备的安全运行，特种设备使用单位应当根据所使用特种设备的类别、品种和特性进行定期自行检查。定期自行检查的时间、内容和要求应当符合有关安全技术规范的规定及产品使用维护保养说明的要求。</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3</w:t>
            </w:r>
            <w:r>
              <w:rPr>
                <w:rFonts w:ascii="Times New Roman" w:cs="Times New Roman"/>
                <w:color w:val="auto"/>
                <w:sz w:val="18"/>
                <w:szCs w:val="18"/>
              </w:rPr>
              <w:t>试运行安全检查</w:t>
            </w:r>
            <w:r>
              <w:rPr>
                <w:rFonts w:ascii="Times New Roman" w:cs="Times New Roman"/>
                <w:color w:val="auto"/>
                <w:sz w:val="18"/>
                <w:szCs w:val="18"/>
                <w:lang w:eastAsia="zh-CN"/>
              </w:rPr>
              <w:t>：</w:t>
            </w:r>
            <w:r>
              <w:rPr>
                <w:rFonts w:ascii="Times New Roman" w:cs="Times New Roman"/>
                <w:color w:val="auto"/>
                <w:sz w:val="18"/>
                <w:szCs w:val="18"/>
              </w:rPr>
              <w:t>客运索道、大型游乐设施在每日投入使用前，其运营使用单位应当按照有关安全技术规范和产品使用维护保养说明的要求，开展设备运营前的试运行检查和例行安全检查，对安全保护装置进行检查确认，并且作出记录。</w:t>
            </w:r>
          </w:p>
        </w:tc>
      </w:tr>
    </w:tbl>
    <w:p>
      <w:pPr>
        <w:rPr>
          <w:color w:val="auto"/>
        </w:rPr>
      </w:pPr>
      <w:r>
        <w:rPr>
          <w:color w:val="auto"/>
        </w:rPr>
        <w:br w:type="page"/>
      </w:r>
    </w:p>
    <w:p>
      <w:pPr>
        <w:snapToGrid w:val="0"/>
        <w:rPr>
          <w:rFonts w:ascii="Times New Roman" w:hAnsi="Times New Roman" w:eastAsia="宋体" w:cs="Times New Roman"/>
          <w:color w:val="auto"/>
          <w:sz w:val="18"/>
          <w:szCs w:val="18"/>
        </w:rPr>
      </w:pPr>
    </w:p>
    <w:tbl>
      <w:tblPr>
        <w:tblStyle w:val="8"/>
        <w:tblW w:w="148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852"/>
        <w:gridCol w:w="567"/>
        <w:gridCol w:w="850"/>
        <w:gridCol w:w="1134"/>
        <w:gridCol w:w="114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70" w:hRule="exact"/>
          <w:jc w:val="center"/>
        </w:trPr>
        <w:tc>
          <w:tcPr>
            <w:tcW w:w="852"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排查内容</w:t>
            </w:r>
          </w:p>
        </w:tc>
        <w:tc>
          <w:tcPr>
            <w:tcW w:w="567"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rPr>
              <w:t>排查</w:t>
            </w:r>
          </w:p>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时间</w:t>
            </w:r>
          </w:p>
        </w:tc>
        <w:tc>
          <w:tcPr>
            <w:tcW w:w="1984" w:type="dxa"/>
            <w:gridSpan w:val="2"/>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排查依据</w:t>
            </w:r>
          </w:p>
        </w:tc>
        <w:tc>
          <w:tcPr>
            <w:tcW w:w="11482"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13" w:hRule="exact"/>
          <w:jc w:val="center"/>
        </w:trPr>
        <w:tc>
          <w:tcPr>
            <w:tcW w:w="852" w:type="dxa"/>
            <w:vMerge w:val="continue"/>
            <w:shd w:val="clear" w:color="auto" w:fill="FFFFFF"/>
            <w:noWrap/>
            <w:vAlign w:val="center"/>
          </w:tcPr>
          <w:p>
            <w:pPr>
              <w:snapToGrid w:val="0"/>
              <w:jc w:val="center"/>
              <w:rPr>
                <w:rFonts w:ascii="Times New Roman" w:hAnsi="Times New Roman" w:eastAsia="黑体" w:cs="Times New Roman"/>
                <w:b/>
                <w:color w:val="auto"/>
                <w:sz w:val="18"/>
                <w:szCs w:val="18"/>
              </w:rPr>
            </w:pPr>
          </w:p>
        </w:tc>
        <w:tc>
          <w:tcPr>
            <w:tcW w:w="567" w:type="dxa"/>
            <w:vMerge w:val="continue"/>
            <w:shd w:val="clear" w:color="auto" w:fill="FFFFFF"/>
            <w:noWrap/>
            <w:vAlign w:val="center"/>
          </w:tcPr>
          <w:p>
            <w:pPr>
              <w:snapToGrid w:val="0"/>
              <w:jc w:val="center"/>
              <w:rPr>
                <w:rFonts w:ascii="Times New Roman" w:hAnsi="Times New Roman" w:eastAsia="黑体" w:cs="Times New Roman"/>
                <w:b/>
                <w:color w:val="auto"/>
                <w:sz w:val="18"/>
                <w:szCs w:val="18"/>
              </w:rPr>
            </w:pPr>
          </w:p>
        </w:tc>
        <w:tc>
          <w:tcPr>
            <w:tcW w:w="850"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法规标准</w:t>
            </w:r>
          </w:p>
        </w:tc>
        <w:tc>
          <w:tcPr>
            <w:tcW w:w="1134"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适用条款</w:t>
            </w:r>
          </w:p>
        </w:tc>
        <w:tc>
          <w:tcPr>
            <w:tcW w:w="11482" w:type="dxa"/>
            <w:vMerge w:val="continue"/>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23" w:hRule="exact"/>
          <w:jc w:val="center"/>
        </w:trPr>
        <w:tc>
          <w:tcPr>
            <w:tcW w:w="85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6" w:name="_Hlk53690472"/>
            <w:r>
              <w:rPr>
                <w:rFonts w:ascii="Times New Roman" w:cs="Times New Roman"/>
                <w:color w:val="auto"/>
                <w:sz w:val="18"/>
                <w:szCs w:val="18"/>
              </w:rPr>
              <w:t>水</w:t>
            </w:r>
            <w:r>
              <w:rPr>
                <w:rFonts w:ascii="Times New Roman" w:hAnsi="Times New Roman" w:cs="Times New Roman"/>
                <w:color w:val="auto"/>
                <w:sz w:val="18"/>
                <w:szCs w:val="18"/>
              </w:rPr>
              <w:t>(</w:t>
            </w:r>
            <w:r>
              <w:rPr>
                <w:rFonts w:ascii="Times New Roman" w:cs="Times New Roman"/>
                <w:color w:val="auto"/>
                <w:sz w:val="18"/>
                <w:szCs w:val="18"/>
              </w:rPr>
              <w:t>介</w:t>
            </w:r>
            <w:r>
              <w:rPr>
                <w:rFonts w:ascii="Times New Roman" w:hAnsi="Times New Roman" w:cs="Times New Roman"/>
                <w:color w:val="auto"/>
                <w:sz w:val="18"/>
                <w:szCs w:val="18"/>
              </w:rPr>
              <w:t>)</w:t>
            </w:r>
            <w:r>
              <w:rPr>
                <w:rFonts w:ascii="Times New Roman" w:cs="Times New Roman"/>
                <w:color w:val="auto"/>
                <w:sz w:val="18"/>
                <w:szCs w:val="18"/>
              </w:rPr>
              <w:t>质要求</w:t>
            </w:r>
            <w:bookmarkEnd w:id="6"/>
          </w:p>
        </w:tc>
        <w:tc>
          <w:tcPr>
            <w:tcW w:w="567"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每</w:t>
            </w:r>
            <w:r>
              <w:rPr>
                <w:rFonts w:ascii="Times New Roman" w:hAnsi="Times New Roman" w:cs="Times New Roman"/>
                <w:color w:val="auto"/>
                <w:sz w:val="18"/>
                <w:szCs w:val="18"/>
                <w:lang w:eastAsia="zh-CN"/>
              </w:rPr>
              <w:t>年</w:t>
            </w:r>
          </w:p>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一次</w:t>
            </w:r>
          </w:p>
        </w:tc>
        <w:tc>
          <w:tcPr>
            <w:tcW w:w="850"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cs="Times New Roman"/>
                <w:color w:val="auto"/>
                <w:sz w:val="18"/>
                <w:szCs w:val="18"/>
              </w:rPr>
              <w:t>特种设备使用管理规则</w:t>
            </w:r>
          </w:p>
          <w:p>
            <w:pPr>
              <w:pStyle w:val="10"/>
              <w:snapToGrid w:val="0"/>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(TSG 08-2017)</w:t>
            </w:r>
          </w:p>
        </w:tc>
        <w:tc>
          <w:tcPr>
            <w:tcW w:w="113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2.8</w:t>
            </w:r>
          </w:p>
        </w:tc>
        <w:tc>
          <w:tcPr>
            <w:tcW w:w="11482"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锅炉以及以水为介质产生蒸汽的压力容器的使用单位，应当做好锅炉水</w:t>
            </w:r>
            <w:r>
              <w:rPr>
                <w:rFonts w:ascii="Times New Roman" w:hAnsi="Times New Roman" w:cs="Times New Roman"/>
                <w:color w:val="auto"/>
                <w:sz w:val="18"/>
                <w:szCs w:val="18"/>
              </w:rPr>
              <w:t>(</w:t>
            </w:r>
            <w:r>
              <w:rPr>
                <w:rFonts w:ascii="Times New Roman" w:cs="Times New Roman"/>
                <w:color w:val="auto"/>
                <w:sz w:val="18"/>
                <w:szCs w:val="18"/>
              </w:rPr>
              <w:t>介</w:t>
            </w:r>
            <w:r>
              <w:rPr>
                <w:rFonts w:ascii="Times New Roman" w:hAnsi="Times New Roman" w:cs="Times New Roman"/>
                <w:color w:val="auto"/>
                <w:sz w:val="18"/>
                <w:szCs w:val="18"/>
              </w:rPr>
              <w:t>)</w:t>
            </w:r>
            <w:r>
              <w:rPr>
                <w:rFonts w:ascii="Times New Roman" w:cs="Times New Roman"/>
                <w:color w:val="auto"/>
                <w:sz w:val="18"/>
                <w:szCs w:val="18"/>
              </w:rPr>
              <w:t>质、压力容器水质的处理和监测工作，</w:t>
            </w:r>
            <w:r>
              <w:rPr>
                <w:rFonts w:ascii="Times New Roman" w:hAnsi="Times New Roman" w:cs="Times New Roman"/>
                <w:color w:val="auto"/>
                <w:sz w:val="18"/>
                <w:szCs w:val="18"/>
              </w:rPr>
              <w:t xml:space="preserve"> </w:t>
            </w:r>
            <w:r>
              <w:rPr>
                <w:rFonts w:ascii="Times New Roman" w:cs="Times New Roman"/>
                <w:color w:val="auto"/>
                <w:sz w:val="18"/>
                <w:szCs w:val="18"/>
              </w:rPr>
              <w:t>保证水</w:t>
            </w:r>
            <w:r>
              <w:rPr>
                <w:rFonts w:ascii="Times New Roman" w:hAnsi="Times New Roman" w:cs="Times New Roman"/>
                <w:color w:val="auto"/>
                <w:sz w:val="18"/>
                <w:szCs w:val="18"/>
              </w:rPr>
              <w:t>(</w:t>
            </w:r>
            <w:r>
              <w:rPr>
                <w:rFonts w:ascii="Times New Roman" w:cs="Times New Roman"/>
                <w:color w:val="auto"/>
                <w:sz w:val="18"/>
                <w:szCs w:val="18"/>
              </w:rPr>
              <w:t>介</w:t>
            </w:r>
            <w:r>
              <w:rPr>
                <w:rFonts w:ascii="Times New Roman" w:hAnsi="Times New Roman" w:cs="Times New Roman"/>
                <w:color w:val="auto"/>
                <w:sz w:val="18"/>
                <w:szCs w:val="18"/>
              </w:rPr>
              <w:t>)</w:t>
            </w:r>
            <w:r>
              <w:rPr>
                <w:rFonts w:ascii="Times New Roman" w:cs="Times New Roman"/>
                <w:color w:val="auto"/>
                <w:sz w:val="18"/>
                <w:szCs w:val="18"/>
              </w:rPr>
              <w:t>质质量符合相关要求。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16" w:hRule="exact"/>
          <w:jc w:val="center"/>
        </w:trPr>
        <w:tc>
          <w:tcPr>
            <w:tcW w:w="85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7" w:name="_Hlk53690484"/>
            <w:r>
              <w:rPr>
                <w:rFonts w:ascii="Times New Roman" w:cs="Times New Roman"/>
                <w:color w:val="auto"/>
                <w:sz w:val="18"/>
                <w:szCs w:val="18"/>
              </w:rPr>
              <w:t>安全警示</w:t>
            </w:r>
            <w:bookmarkEnd w:id="7"/>
          </w:p>
        </w:tc>
        <w:tc>
          <w:tcPr>
            <w:tcW w:w="567"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113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2.9</w:t>
            </w:r>
          </w:p>
        </w:tc>
        <w:tc>
          <w:tcPr>
            <w:tcW w:w="11482"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电梯、客运索道、大型游乐设施的运营使用单位应当将安全使用说明、安全注意事项和警示标志置于易于引起乘客注意的位置。</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除前款以外的其他特种设备应当根据设备特点和使用环境、场所，设置安全使用说明、安全注意事项和安全警示标志。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702" w:hRule="exact"/>
          <w:jc w:val="center"/>
        </w:trPr>
        <w:tc>
          <w:tcPr>
            <w:tcW w:w="85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8" w:name="_Hlk53690502"/>
            <w:r>
              <w:rPr>
                <w:rFonts w:ascii="Times New Roman" w:cs="Times New Roman"/>
                <w:color w:val="auto"/>
                <w:sz w:val="18"/>
                <w:szCs w:val="18"/>
              </w:rPr>
              <w:t>定期检验程序</w:t>
            </w:r>
            <w:bookmarkEnd w:id="8"/>
          </w:p>
        </w:tc>
        <w:tc>
          <w:tcPr>
            <w:tcW w:w="567"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113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2.10</w:t>
            </w:r>
          </w:p>
        </w:tc>
        <w:tc>
          <w:tcPr>
            <w:tcW w:w="11482" w:type="dxa"/>
            <w:shd w:val="clear" w:color="auto" w:fill="FFFFFF"/>
            <w:noWrap/>
            <w:vAlign w:val="center"/>
          </w:tcPr>
          <w:p>
            <w:pPr>
              <w:pStyle w:val="10"/>
              <w:tabs>
                <w:tab w:val="left" w:pos="331"/>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cs="Times New Roman"/>
                <w:color w:val="auto"/>
                <w:sz w:val="18"/>
                <w:szCs w:val="18"/>
              </w:rPr>
              <w:t>使用单位应当在特种设备定期检验有效期届满的</w:t>
            </w:r>
            <w:r>
              <w:rPr>
                <w:rFonts w:ascii="Times New Roman" w:hAnsi="Times New Roman" w:eastAsia="Times New Roman" w:cs="Times New Roman"/>
                <w:color w:val="auto"/>
                <w:sz w:val="18"/>
                <w:szCs w:val="18"/>
              </w:rPr>
              <w:t>1</w:t>
            </w:r>
            <w:r>
              <w:rPr>
                <w:rFonts w:ascii="Times New Roman" w:cs="Times New Roman"/>
                <w:color w:val="auto"/>
                <w:sz w:val="18"/>
                <w:szCs w:val="18"/>
              </w:rPr>
              <w:t>个月以前，向特种设备检验机构提出定期检验申请，并且做好相关的准备工作；</w:t>
            </w:r>
          </w:p>
          <w:p>
            <w:pPr>
              <w:pStyle w:val="10"/>
              <w:tabs>
                <w:tab w:val="left" w:pos="350"/>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(2)</w:t>
            </w:r>
            <w:r>
              <w:rPr>
                <w:rFonts w:ascii="Times New Roman" w:cs="Times New Roman"/>
                <w:color w:val="auto"/>
                <w:sz w:val="18"/>
                <w:szCs w:val="18"/>
              </w:rPr>
              <w:t>移动式</w:t>
            </w:r>
            <w:r>
              <w:rPr>
                <w:rFonts w:ascii="Times New Roman" w:hAnsi="Times New Roman" w:cs="Times New Roman"/>
                <w:color w:val="auto"/>
                <w:sz w:val="18"/>
                <w:szCs w:val="18"/>
              </w:rPr>
              <w:t>(</w:t>
            </w:r>
            <w:r>
              <w:rPr>
                <w:rFonts w:ascii="Times New Roman" w:cs="Times New Roman"/>
                <w:color w:val="auto"/>
                <w:sz w:val="18"/>
                <w:szCs w:val="18"/>
              </w:rPr>
              <w:t>流动式</w:t>
            </w:r>
            <w:r>
              <w:rPr>
                <w:rFonts w:ascii="Times New Roman" w:hAnsi="Times New Roman" w:cs="Times New Roman"/>
                <w:color w:val="auto"/>
                <w:sz w:val="18"/>
                <w:szCs w:val="18"/>
              </w:rPr>
              <w:t>)</w:t>
            </w:r>
            <w:r>
              <w:rPr>
                <w:rFonts w:ascii="Times New Roman" w:cs="Times New Roman"/>
                <w:color w:val="auto"/>
                <w:sz w:val="18"/>
                <w:szCs w:val="18"/>
              </w:rPr>
              <w:t>特种设备</w:t>
            </w:r>
            <w:r>
              <w:rPr>
                <w:rFonts w:ascii="Times New Roman" w:hAnsi="Times New Roman" w:cs="Times New Roman"/>
                <w:color w:val="auto"/>
                <w:sz w:val="18"/>
                <w:szCs w:val="18"/>
              </w:rPr>
              <w:t>,</w:t>
            </w:r>
            <w:r>
              <w:rPr>
                <w:rFonts w:ascii="Times New Roman" w:cs="Times New Roman"/>
                <w:color w:val="auto"/>
                <w:sz w:val="18"/>
                <w:szCs w:val="18"/>
              </w:rPr>
              <w:t>如果无法返回使用登记地进行定期检验的，可以在异地</w:t>
            </w:r>
            <w:r>
              <w:rPr>
                <w:rFonts w:ascii="Times New Roman" w:hAnsi="Times New Roman" w:cs="Times New Roman"/>
                <w:color w:val="auto"/>
                <w:sz w:val="18"/>
                <w:szCs w:val="18"/>
              </w:rPr>
              <w:t>(</w:t>
            </w:r>
            <w:r>
              <w:rPr>
                <w:rFonts w:ascii="Times New Roman" w:cs="Times New Roman"/>
                <w:color w:val="auto"/>
                <w:sz w:val="18"/>
                <w:szCs w:val="18"/>
              </w:rPr>
              <w:t>指不在使用登记地</w:t>
            </w:r>
            <w:r>
              <w:rPr>
                <w:rFonts w:ascii="Times New Roman" w:hAnsi="Times New Roman" w:cs="Times New Roman"/>
                <w:color w:val="auto"/>
                <w:sz w:val="18"/>
                <w:szCs w:val="18"/>
              </w:rPr>
              <w:t>)</w:t>
            </w:r>
            <w:r>
              <w:rPr>
                <w:rFonts w:ascii="Times New Roman" w:cs="Times New Roman"/>
                <w:color w:val="auto"/>
                <w:sz w:val="18"/>
                <w:szCs w:val="18"/>
              </w:rPr>
              <w:t>进行，</w:t>
            </w:r>
            <w:r>
              <w:rPr>
                <w:rFonts w:ascii="Times New Roman" w:hAnsi="Times New Roman" w:cs="Times New Roman"/>
                <w:color w:val="auto"/>
                <w:sz w:val="18"/>
                <w:szCs w:val="18"/>
              </w:rPr>
              <w:t xml:space="preserve"> </w:t>
            </w:r>
            <w:r>
              <w:rPr>
                <w:rFonts w:ascii="Times New Roman" w:cs="Times New Roman"/>
                <w:color w:val="auto"/>
                <w:sz w:val="18"/>
                <w:szCs w:val="18"/>
              </w:rPr>
              <w:t>检验后，使用单位应当在收到检验报告之日起</w:t>
            </w:r>
            <w:r>
              <w:rPr>
                <w:rFonts w:ascii="Times New Roman" w:hAnsi="Times New Roman" w:eastAsia="Times New Roman" w:cs="Times New Roman"/>
                <w:color w:val="auto"/>
                <w:sz w:val="18"/>
                <w:szCs w:val="18"/>
              </w:rPr>
              <w:t>30</w:t>
            </w:r>
            <w:r>
              <w:rPr>
                <w:rFonts w:ascii="Times New Roman" w:cs="Times New Roman"/>
                <w:color w:val="auto"/>
                <w:sz w:val="18"/>
                <w:szCs w:val="18"/>
              </w:rPr>
              <w:t>日内将检验报告</w:t>
            </w:r>
            <w:r>
              <w:rPr>
                <w:rFonts w:ascii="Times New Roman" w:hAnsi="Times New Roman" w:cs="Times New Roman"/>
                <w:color w:val="auto"/>
                <w:sz w:val="18"/>
                <w:szCs w:val="18"/>
              </w:rPr>
              <w:t>(</w:t>
            </w:r>
            <w:r>
              <w:rPr>
                <w:rFonts w:ascii="Times New Roman" w:cs="Times New Roman"/>
                <w:color w:val="auto"/>
                <w:sz w:val="18"/>
                <w:szCs w:val="18"/>
              </w:rPr>
              <w:t>复印件</w:t>
            </w:r>
            <w:r>
              <w:rPr>
                <w:rFonts w:ascii="Times New Roman" w:hAnsi="Times New Roman" w:cs="Times New Roman"/>
                <w:color w:val="auto"/>
                <w:sz w:val="18"/>
                <w:szCs w:val="18"/>
              </w:rPr>
              <w:t>)</w:t>
            </w:r>
            <w:r>
              <w:rPr>
                <w:rFonts w:ascii="Times New Roman" w:cs="Times New Roman"/>
                <w:color w:val="auto"/>
                <w:sz w:val="18"/>
                <w:szCs w:val="18"/>
              </w:rPr>
              <w:t>报送使用登记机关；</w:t>
            </w:r>
          </w:p>
          <w:p>
            <w:pPr>
              <w:pStyle w:val="10"/>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cs="Times New Roman"/>
                <w:color w:val="auto"/>
                <w:sz w:val="18"/>
                <w:szCs w:val="18"/>
              </w:rPr>
              <w:t>定期检验完成后</w:t>
            </w:r>
            <w:r>
              <w:rPr>
                <w:rFonts w:ascii="Times New Roman" w:hAnsi="Times New Roman" w:cs="Times New Roman"/>
                <w:color w:val="auto"/>
                <w:sz w:val="18"/>
                <w:szCs w:val="18"/>
              </w:rPr>
              <w:t>,</w:t>
            </w:r>
            <w:r>
              <w:rPr>
                <w:rFonts w:ascii="Times New Roman" w:cs="Times New Roman"/>
                <w:color w:val="auto"/>
                <w:sz w:val="18"/>
                <w:szCs w:val="18"/>
              </w:rPr>
              <w:t>使用单位应当组织进行特种设备管路连接、密封、附件</w:t>
            </w:r>
            <w:r>
              <w:rPr>
                <w:rFonts w:ascii="Times New Roman" w:hAnsi="Times New Roman" w:cs="Times New Roman"/>
                <w:color w:val="auto"/>
                <w:sz w:val="18"/>
                <w:szCs w:val="18"/>
              </w:rPr>
              <w:t>(</w:t>
            </w:r>
            <w:r>
              <w:rPr>
                <w:rFonts w:ascii="Times New Roman" w:cs="Times New Roman"/>
                <w:color w:val="auto"/>
                <w:sz w:val="18"/>
                <w:szCs w:val="18"/>
              </w:rPr>
              <w:t>含零部件、安全附件、安全保护装置、</w:t>
            </w:r>
            <w:r>
              <w:rPr>
                <w:rFonts w:ascii="Times New Roman" w:hAnsi="Times New Roman" w:cs="Times New Roman"/>
                <w:color w:val="auto"/>
                <w:sz w:val="18"/>
                <w:szCs w:val="18"/>
              </w:rPr>
              <w:t xml:space="preserve"> </w:t>
            </w:r>
            <w:r>
              <w:rPr>
                <w:rFonts w:ascii="Times New Roman" w:cs="Times New Roman"/>
                <w:color w:val="auto"/>
                <w:sz w:val="18"/>
                <w:szCs w:val="18"/>
              </w:rPr>
              <w:t>仪器仪表等</w:t>
            </w:r>
            <w:r>
              <w:rPr>
                <w:rFonts w:ascii="Times New Roman" w:hAnsi="Times New Roman" w:cs="Times New Roman"/>
                <w:color w:val="auto"/>
                <w:sz w:val="18"/>
                <w:szCs w:val="18"/>
              </w:rPr>
              <w:t>)</w:t>
            </w:r>
            <w:r>
              <w:rPr>
                <w:rFonts w:ascii="Times New Roman" w:cs="Times New Roman"/>
                <w:color w:val="auto"/>
                <w:sz w:val="18"/>
                <w:szCs w:val="18"/>
              </w:rPr>
              <w:t>和内件安装、试运行等工作，并且对其安全性负责；</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cs="Times New Roman"/>
                <w:color w:val="auto"/>
                <w:sz w:val="18"/>
                <w:szCs w:val="18"/>
              </w:rPr>
              <w:t>检验结论为合格时</w:t>
            </w:r>
            <w:r>
              <w:rPr>
                <w:rFonts w:ascii="Times New Roman" w:hAnsi="Times New Roman" w:cs="Times New Roman"/>
                <w:color w:val="auto"/>
                <w:sz w:val="18"/>
                <w:szCs w:val="18"/>
              </w:rPr>
              <w:t>(</w:t>
            </w:r>
            <w:r>
              <w:rPr>
                <w:rFonts w:ascii="Times New Roman" w:cs="Times New Roman"/>
                <w:color w:val="auto"/>
                <w:sz w:val="18"/>
                <w:szCs w:val="18"/>
              </w:rPr>
              <w:t>注</w:t>
            </w:r>
            <w:r>
              <w:rPr>
                <w:rFonts w:ascii="Times New Roman" w:hAnsi="Times New Roman" w:eastAsia="Times New Roman" w:cs="Times New Roman"/>
                <w:color w:val="auto"/>
                <w:sz w:val="18"/>
                <w:szCs w:val="18"/>
              </w:rPr>
              <w:t>2-5)</w:t>
            </w:r>
            <w:r>
              <w:rPr>
                <w:rFonts w:ascii="Times New Roman" w:hAnsi="Times New Roman" w:cs="Times New Roman"/>
                <w:color w:val="auto"/>
                <w:sz w:val="18"/>
                <w:szCs w:val="18"/>
                <w:lang w:eastAsia="zh-CN"/>
              </w:rPr>
              <w:t>，</w:t>
            </w:r>
            <w:r>
              <w:rPr>
                <w:rFonts w:ascii="Times New Roman" w:cs="Times New Roman"/>
                <w:color w:val="auto"/>
                <w:sz w:val="18"/>
                <w:szCs w:val="18"/>
              </w:rPr>
              <w:t>使用单位应当按照检验结论确定的参数使用特种设备。</w:t>
            </w:r>
          </w:p>
          <w:p>
            <w:pPr>
              <w:pStyle w:val="10"/>
              <w:snapToGrid w:val="0"/>
              <w:spacing w:line="240" w:lineRule="auto"/>
              <w:rPr>
                <w:rFonts w:ascii="Times New Roman" w:hAnsi="Times New Roman" w:cs="Times New Roman"/>
                <w:color w:val="auto"/>
                <w:sz w:val="15"/>
                <w:szCs w:val="15"/>
              </w:rPr>
            </w:pPr>
            <w:r>
              <w:rPr>
                <w:rFonts w:ascii="Times New Roman" w:cs="Times New Roman"/>
                <w:color w:val="auto"/>
                <w:sz w:val="15"/>
                <w:szCs w:val="15"/>
              </w:rPr>
              <w:t>注</w:t>
            </w:r>
            <w:r>
              <w:rPr>
                <w:rFonts w:ascii="Times New Roman" w:hAnsi="Times New Roman" w:eastAsia="Times New Roman" w:cs="Times New Roman"/>
                <w:color w:val="auto"/>
                <w:sz w:val="15"/>
                <w:szCs w:val="15"/>
              </w:rPr>
              <w:t>2</w:t>
            </w:r>
            <w:r>
              <w:rPr>
                <w:rFonts w:ascii="Times New Roman" w:hAnsi="Times New Roman" w:cs="Times New Roman"/>
                <w:color w:val="auto"/>
                <w:sz w:val="15"/>
                <w:szCs w:val="15"/>
                <w:lang w:eastAsia="zh-CN"/>
              </w:rPr>
              <w:t>-</w:t>
            </w:r>
            <w:r>
              <w:rPr>
                <w:rFonts w:ascii="Times New Roman" w:hAnsi="Times New Roman" w:eastAsia="Times New Roman" w:cs="Times New Roman"/>
                <w:color w:val="auto"/>
                <w:sz w:val="15"/>
                <w:szCs w:val="15"/>
              </w:rPr>
              <w:t>5</w:t>
            </w:r>
            <w:r>
              <w:rPr>
                <w:rFonts w:ascii="Times New Roman" w:cs="Times New Roman"/>
                <w:color w:val="auto"/>
                <w:sz w:val="15"/>
                <w:szCs w:val="15"/>
              </w:rPr>
              <w:t>：有关安全技术规范中检验结论为</w:t>
            </w:r>
            <w:r>
              <w:rPr>
                <w:rFonts w:ascii="Times New Roman" w:hAnsi="Times New Roman" w:cs="Times New Roman"/>
                <w:color w:val="auto"/>
                <w:sz w:val="15"/>
                <w:szCs w:val="15"/>
                <w:lang w:val="zh-CN" w:eastAsia="zh-CN" w:bidi="zh-CN"/>
              </w:rPr>
              <w:t>“</w:t>
            </w:r>
            <w:r>
              <w:rPr>
                <w:rFonts w:ascii="Times New Roman" w:cs="Times New Roman"/>
                <w:color w:val="auto"/>
                <w:sz w:val="15"/>
                <w:szCs w:val="15"/>
                <w:lang w:val="zh-CN" w:eastAsia="zh-CN" w:bidi="zh-CN"/>
              </w:rPr>
              <w:t>合格</w:t>
            </w:r>
            <w:r>
              <w:rPr>
                <w:rFonts w:ascii="Times New Roman" w:hAnsi="Times New Roman" w:cs="Times New Roman"/>
                <w:color w:val="auto"/>
                <w:sz w:val="15"/>
                <w:szCs w:val="15"/>
                <w:lang w:val="zh-CN" w:eastAsia="zh-CN" w:bidi="zh-CN"/>
              </w:rPr>
              <w:t>”“</w:t>
            </w:r>
            <w:r>
              <w:rPr>
                <w:rFonts w:ascii="Times New Roman" w:cs="Times New Roman"/>
                <w:color w:val="auto"/>
                <w:sz w:val="15"/>
                <w:szCs w:val="15"/>
                <w:lang w:val="zh-CN" w:eastAsia="zh-CN" w:bidi="zh-CN"/>
              </w:rPr>
              <w:t>复</w:t>
            </w:r>
            <w:r>
              <w:rPr>
                <w:rFonts w:ascii="Times New Roman" w:cs="Times New Roman"/>
                <w:color w:val="auto"/>
                <w:sz w:val="15"/>
                <w:szCs w:val="15"/>
              </w:rPr>
              <w:t>检合格</w:t>
            </w:r>
            <w:r>
              <w:rPr>
                <w:rFonts w:ascii="Times New Roman" w:hAnsi="Times New Roman" w:cs="Times New Roman"/>
                <w:color w:val="auto"/>
                <w:sz w:val="15"/>
                <w:szCs w:val="15"/>
                <w:lang w:val="zh-CN" w:eastAsia="zh-CN" w:bidi="zh-CN"/>
              </w:rPr>
              <w:t>”“</w:t>
            </w:r>
            <w:r>
              <w:rPr>
                <w:rFonts w:ascii="Times New Roman" w:cs="Times New Roman"/>
                <w:color w:val="auto"/>
                <w:sz w:val="15"/>
                <w:szCs w:val="15"/>
                <w:lang w:val="zh-CN" w:eastAsia="zh-CN" w:bidi="zh-CN"/>
              </w:rPr>
              <w:t>符</w:t>
            </w:r>
            <w:r>
              <w:rPr>
                <w:rFonts w:ascii="Times New Roman" w:cs="Times New Roman"/>
                <w:color w:val="auto"/>
                <w:sz w:val="15"/>
                <w:szCs w:val="15"/>
              </w:rPr>
              <w:t>合要求</w:t>
            </w:r>
            <w:r>
              <w:rPr>
                <w:rFonts w:ascii="Times New Roman" w:hAnsi="Times New Roman" w:cs="Times New Roman"/>
                <w:color w:val="auto"/>
                <w:sz w:val="15"/>
                <w:szCs w:val="15"/>
                <w:lang w:val="zh-CN" w:eastAsia="zh-CN" w:bidi="zh-CN"/>
              </w:rPr>
              <w:t>”“</w:t>
            </w:r>
            <w:r>
              <w:rPr>
                <w:rFonts w:ascii="Times New Roman" w:cs="Times New Roman"/>
                <w:color w:val="auto"/>
                <w:sz w:val="15"/>
                <w:szCs w:val="15"/>
                <w:lang w:val="zh-CN" w:eastAsia="zh-CN" w:bidi="zh-CN"/>
              </w:rPr>
              <w:t>基</w:t>
            </w:r>
            <w:r>
              <w:rPr>
                <w:rFonts w:ascii="Times New Roman" w:cs="Times New Roman"/>
                <w:color w:val="auto"/>
                <w:sz w:val="15"/>
                <w:szCs w:val="15"/>
              </w:rPr>
              <w:t>本符合要求</w:t>
            </w:r>
            <w:r>
              <w:rPr>
                <w:rFonts w:ascii="Times New Roman" w:hAnsi="Times New Roman" w:cs="Times New Roman"/>
                <w:color w:val="auto"/>
                <w:sz w:val="15"/>
                <w:szCs w:val="15"/>
                <w:lang w:val="zh-CN" w:eastAsia="zh-CN" w:bidi="zh-CN"/>
              </w:rPr>
              <w:t>”“</w:t>
            </w:r>
            <w:r>
              <w:rPr>
                <w:rFonts w:ascii="Times New Roman" w:cs="Times New Roman"/>
                <w:color w:val="auto"/>
                <w:sz w:val="15"/>
                <w:szCs w:val="15"/>
                <w:lang w:val="zh-CN" w:eastAsia="zh-CN" w:bidi="zh-CN"/>
              </w:rPr>
              <w:t>允</w:t>
            </w:r>
            <w:r>
              <w:rPr>
                <w:rFonts w:ascii="Times New Roman" w:cs="Times New Roman"/>
                <w:color w:val="auto"/>
                <w:sz w:val="15"/>
                <w:szCs w:val="15"/>
              </w:rPr>
              <w:t>许使用</w:t>
            </w:r>
            <w:r>
              <w:rPr>
                <w:rFonts w:ascii="Times New Roman" w:hAnsi="Times New Roman" w:cs="Times New Roman"/>
                <w:color w:val="auto"/>
                <w:sz w:val="15"/>
                <w:szCs w:val="15"/>
                <w:lang w:val="zh-CN" w:eastAsia="zh-CN" w:bidi="zh-CN"/>
              </w:rPr>
              <w:t>”</w:t>
            </w:r>
            <w:r>
              <w:rPr>
                <w:rFonts w:ascii="Times New Roman" w:cs="Times New Roman"/>
                <w:color w:val="auto"/>
                <w:sz w:val="15"/>
                <w:szCs w:val="15"/>
                <w:lang w:val="zh-CN" w:eastAsia="zh-CN" w:bidi="zh-CN"/>
              </w:rPr>
              <w:t>统</w:t>
            </w:r>
            <w:r>
              <w:rPr>
                <w:rFonts w:ascii="Times New Roman" w:cs="Times New Roman"/>
                <w:color w:val="auto"/>
                <w:sz w:val="15"/>
                <w:szCs w:val="15"/>
              </w:rPr>
              <w:t>称为合格。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655" w:hRule="exact"/>
          <w:jc w:val="center"/>
        </w:trPr>
        <w:tc>
          <w:tcPr>
            <w:tcW w:w="85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隐患排查与治理</w:t>
            </w:r>
          </w:p>
        </w:tc>
        <w:tc>
          <w:tcPr>
            <w:tcW w:w="567"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113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2.11</w:t>
            </w:r>
          </w:p>
        </w:tc>
        <w:tc>
          <w:tcPr>
            <w:tcW w:w="11482"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cs="Times New Roman"/>
                <w:color w:val="auto"/>
                <w:sz w:val="18"/>
                <w:szCs w:val="18"/>
              </w:rPr>
              <w:t>隐患排查</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使用单位应当按照隐患排查治理制度进行隐患排查，发现事故隐患应当及时消除</w:t>
            </w:r>
            <w:r>
              <w:rPr>
                <w:rFonts w:ascii="Times New Roman" w:hAnsi="Times New Roman" w:cs="Times New Roman"/>
                <w:color w:val="auto"/>
                <w:sz w:val="18"/>
                <w:szCs w:val="18"/>
              </w:rPr>
              <w:t>,</w:t>
            </w:r>
            <w:r>
              <w:rPr>
                <w:rFonts w:ascii="Times New Roman" w:cs="Times New Roman"/>
                <w:color w:val="auto"/>
                <w:sz w:val="18"/>
                <w:szCs w:val="18"/>
              </w:rPr>
              <w:t>待隐患消除后，方可继续使用。</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2</w:t>
            </w:r>
            <w:r>
              <w:rPr>
                <w:rFonts w:ascii="Times New Roman" w:cs="Times New Roman"/>
                <w:color w:val="auto"/>
                <w:sz w:val="18"/>
                <w:szCs w:val="18"/>
              </w:rPr>
              <w:t>异常情况处理</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特种设备在使用中发现异常情况的，作业人员或者维护保养人员应当立即采取应急措施，并且按照规定的程序向使用单位特种设备安全管理人员和单位有关负责人报告。</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使用单位应当对出现故障或者发生异常情况的特种设备及时进行全面检查，查明故障和异常情况原因，并且及时采取有效措施，必要时停止运行，安排检验、检测，不得带病运行、冒险作业</w:t>
            </w:r>
            <w:r>
              <w:rPr>
                <w:rFonts w:ascii="Times New Roman" w:cs="Times New Roman"/>
                <w:color w:val="auto"/>
                <w:sz w:val="18"/>
                <w:szCs w:val="18"/>
                <w:lang w:eastAsia="zh-CN"/>
              </w:rPr>
              <w:t>，</w:t>
            </w:r>
            <w:r>
              <w:rPr>
                <w:rFonts w:ascii="Times New Roman" w:cs="Times New Roman"/>
                <w:color w:val="auto"/>
                <w:sz w:val="18"/>
                <w:szCs w:val="18"/>
              </w:rPr>
              <w:t>待故障、异常情况消除后，方可继续使用。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990" w:hRule="exact"/>
          <w:jc w:val="center"/>
        </w:trPr>
        <w:tc>
          <w:tcPr>
            <w:tcW w:w="85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cs="Times New Roman"/>
                <w:color w:val="auto"/>
                <w:sz w:val="18"/>
                <w:szCs w:val="18"/>
              </w:rPr>
              <w:t>预案与事故管理</w:t>
            </w:r>
          </w:p>
        </w:tc>
        <w:tc>
          <w:tcPr>
            <w:tcW w:w="567"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113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2.12</w:t>
            </w:r>
          </w:p>
        </w:tc>
        <w:tc>
          <w:tcPr>
            <w:tcW w:w="11482"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cs="Times New Roman"/>
                <w:color w:val="auto"/>
                <w:sz w:val="18"/>
                <w:szCs w:val="18"/>
              </w:rPr>
              <w:t>应急预案</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按照本规则要求设置特种设备安全管理机构和配备专职安全管理员的使用单位，应当制定特种设备事故应急专项</w:t>
            </w:r>
            <w:r>
              <w:rPr>
                <w:rFonts w:ascii="Times New Roman" w:hAnsi="Times New Roman" w:cs="Times New Roman"/>
                <w:color w:val="auto"/>
                <w:sz w:val="18"/>
                <w:szCs w:val="18"/>
              </w:rPr>
              <w:t xml:space="preserve"> </w:t>
            </w:r>
            <w:r>
              <w:rPr>
                <w:rFonts w:ascii="Times New Roman" w:cs="Times New Roman"/>
                <w:color w:val="auto"/>
                <w:sz w:val="18"/>
                <w:szCs w:val="18"/>
              </w:rPr>
              <w:t>预案，每年至少演练一次，并且作出记录；其他使用单位可以在综合应急预案中编制特种设备事故应急的内容，适时开展特种设备事故应急演练，并且作出记录。</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2</w:t>
            </w:r>
            <w:r>
              <w:rPr>
                <w:rFonts w:ascii="Times New Roman" w:cs="Times New Roman"/>
                <w:color w:val="auto"/>
                <w:sz w:val="18"/>
                <w:szCs w:val="18"/>
              </w:rPr>
              <w:t>事故处置</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发生特种设备事故的使用单位，应当根据应急预案，立即采取应急措施，组织抢救，防止事故扩大，减少人员伤亡和</w:t>
            </w:r>
            <w:r>
              <w:rPr>
                <w:rFonts w:ascii="Times New Roman" w:hAnsi="Times New Roman" w:cs="Times New Roman"/>
                <w:color w:val="auto"/>
                <w:sz w:val="18"/>
                <w:szCs w:val="18"/>
              </w:rPr>
              <w:t xml:space="preserve"> </w:t>
            </w:r>
            <w:r>
              <w:rPr>
                <w:rFonts w:ascii="Times New Roman" w:cs="Times New Roman"/>
                <w:color w:val="auto"/>
                <w:sz w:val="18"/>
                <w:szCs w:val="18"/>
              </w:rPr>
              <w:t>财产损失，并且按照《特种设备事故报告和调查处理规定》的要求，向特种设备安全监管部门和有关部门报告，同时</w:t>
            </w:r>
            <w:r>
              <w:rPr>
                <w:rFonts w:ascii="Times New Roman" w:hAnsi="Times New Roman" w:cs="Times New Roman"/>
                <w:color w:val="auto"/>
                <w:sz w:val="18"/>
                <w:szCs w:val="18"/>
              </w:rPr>
              <w:t xml:space="preserve"> </w:t>
            </w:r>
            <w:r>
              <w:rPr>
                <w:rFonts w:ascii="Times New Roman" w:cs="Times New Roman"/>
                <w:color w:val="auto"/>
                <w:sz w:val="18"/>
                <w:szCs w:val="18"/>
              </w:rPr>
              <w:t>配合事故调查和做好善后处理工作。</w:t>
            </w:r>
          </w:p>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发生自然灾害危及特种设备安全时，使用单位应当立即疏散、撤离有关人员，采取防止危害扩大的必要措施，同时</w:t>
            </w:r>
            <w:r>
              <w:rPr>
                <w:rFonts w:ascii="Times New Roman" w:hAnsi="Times New Roman" w:cs="Times New Roman"/>
                <w:color w:val="auto"/>
                <w:sz w:val="18"/>
                <w:szCs w:val="18"/>
              </w:rPr>
              <w:t xml:space="preserve"> </w:t>
            </w:r>
            <w:r>
              <w:rPr>
                <w:rFonts w:ascii="Times New Roman" w:cs="Times New Roman"/>
                <w:color w:val="auto"/>
                <w:sz w:val="18"/>
                <w:szCs w:val="18"/>
              </w:rPr>
              <w:t>向特种设备安全监管部门和有关部门报告。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00" w:hRule="exact"/>
          <w:jc w:val="center"/>
        </w:trPr>
        <w:tc>
          <w:tcPr>
            <w:tcW w:w="85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9" w:name="_Hlk53690557"/>
            <w:r>
              <w:rPr>
                <w:rFonts w:ascii="Times New Roman" w:cs="Times New Roman"/>
                <w:color w:val="auto"/>
                <w:sz w:val="18"/>
                <w:szCs w:val="18"/>
              </w:rPr>
              <w:t>移装管理</w:t>
            </w:r>
            <w:bookmarkEnd w:id="9"/>
          </w:p>
        </w:tc>
        <w:tc>
          <w:tcPr>
            <w:tcW w:w="567"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113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2.13</w:t>
            </w:r>
          </w:p>
        </w:tc>
        <w:tc>
          <w:tcPr>
            <w:tcW w:w="11482"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特秒设备移装后</w:t>
            </w:r>
            <w:r>
              <w:rPr>
                <w:rFonts w:ascii="Times New Roman" w:hAnsi="Times New Roman" w:cs="Times New Roman"/>
                <w:color w:val="auto"/>
                <w:sz w:val="18"/>
                <w:szCs w:val="18"/>
              </w:rPr>
              <w:t>,</w:t>
            </w:r>
            <w:r>
              <w:rPr>
                <w:rFonts w:ascii="Times New Roman" w:cs="Times New Roman"/>
                <w:color w:val="auto"/>
                <w:sz w:val="18"/>
                <w:szCs w:val="18"/>
              </w:rPr>
              <w:t>使用单位应当办理使用登记变更。整体移装的，使用单位应当进行自行检查</w:t>
            </w:r>
            <w:r>
              <w:rPr>
                <w:rFonts w:ascii="Times New Roman" w:cs="Times New Roman"/>
                <w:color w:val="auto"/>
                <w:sz w:val="18"/>
                <w:szCs w:val="18"/>
                <w:lang w:eastAsia="zh-CN"/>
              </w:rPr>
              <w:t>；</w:t>
            </w:r>
            <w:r>
              <w:rPr>
                <w:rFonts w:ascii="Times New Roman" w:cs="Times New Roman"/>
                <w:color w:val="auto"/>
                <w:sz w:val="18"/>
                <w:szCs w:val="18"/>
              </w:rPr>
              <w:t>拆卸后移装的，使用单位应当选择取得相应许可的单位进行安装。按照有关安全技术规范要求，拆卸后移装需要进行检验的，应当向</w:t>
            </w:r>
            <w:r>
              <w:rPr>
                <w:rFonts w:ascii="Times New Roman" w:hAnsi="Times New Roman" w:cs="Times New Roman"/>
                <w:color w:val="auto"/>
                <w:sz w:val="18"/>
                <w:szCs w:val="18"/>
              </w:rPr>
              <w:t xml:space="preserve"> </w:t>
            </w:r>
            <w:r>
              <w:rPr>
                <w:rFonts w:ascii="Times New Roman" w:cs="Times New Roman"/>
                <w:color w:val="auto"/>
                <w:sz w:val="18"/>
                <w:szCs w:val="18"/>
                <w:lang w:eastAsia="zh-CN"/>
              </w:rPr>
              <w:t>特</w:t>
            </w:r>
            <w:r>
              <w:rPr>
                <w:rFonts w:ascii="Times New Roman" w:cs="Times New Roman"/>
                <w:color w:val="auto"/>
                <w:sz w:val="18"/>
                <w:szCs w:val="18"/>
              </w:rPr>
              <w:t>种设备检验机构申请检验。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96" w:hRule="exact"/>
          <w:jc w:val="center"/>
        </w:trPr>
        <w:tc>
          <w:tcPr>
            <w:tcW w:w="85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10" w:name="_Hlk53690577"/>
            <w:r>
              <w:rPr>
                <w:rFonts w:ascii="Times New Roman" w:cs="Times New Roman"/>
                <w:color w:val="auto"/>
                <w:sz w:val="18"/>
                <w:szCs w:val="18"/>
              </w:rPr>
              <w:t>使用年限审查</w:t>
            </w:r>
            <w:bookmarkEnd w:id="10"/>
          </w:p>
        </w:tc>
        <w:tc>
          <w:tcPr>
            <w:tcW w:w="56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13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2.14</w:t>
            </w:r>
          </w:p>
        </w:tc>
        <w:tc>
          <w:tcPr>
            <w:tcW w:w="11482"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cs="Times New Roman"/>
                <w:color w:val="auto"/>
                <w:sz w:val="18"/>
                <w:szCs w:val="18"/>
              </w:rPr>
              <w:t>特种设备达到设计使用年限，使用单位认为可以继续使用的，应当按照安全技术规范及相关产品标准的要求，经检验或者安全评估合格，由使用单位安全管理负责人同意、主要负责人批准</w:t>
            </w:r>
            <w:r>
              <w:rPr>
                <w:rFonts w:ascii="Times New Roman" w:hAnsi="Times New Roman" w:cs="Times New Roman"/>
                <w:color w:val="auto"/>
                <w:sz w:val="18"/>
                <w:szCs w:val="18"/>
              </w:rPr>
              <w:t>,</w:t>
            </w:r>
            <w:r>
              <w:rPr>
                <w:rFonts w:ascii="Times New Roman" w:cs="Times New Roman"/>
                <w:color w:val="auto"/>
                <w:sz w:val="18"/>
                <w:szCs w:val="18"/>
              </w:rPr>
              <w:t>办理使用登记变更后，方可继续使用。允许继续使用的，应当采取加强检验、检测和维护保养等措施，确保使用安全。</w:t>
            </w:r>
          </w:p>
        </w:tc>
      </w:tr>
    </w:tbl>
    <w:p>
      <w:pPr>
        <w:pStyle w:val="9"/>
        <w:snapToGrid w:val="0"/>
        <w:spacing w:afterLines="50" w:line="240" w:lineRule="auto"/>
        <w:jc w:val="center"/>
        <w:rPr>
          <w:rFonts w:ascii="Times New Roman" w:hAnsi="Times New Roman" w:cs="Times New Roman"/>
          <w:color w:val="auto"/>
          <w:sz w:val="18"/>
          <w:szCs w:val="18"/>
          <w:lang w:eastAsia="zh-CN"/>
        </w:rPr>
      </w:pPr>
    </w:p>
    <w:p>
      <w:pPr>
        <w:widowControl/>
        <w:jc w:val="center"/>
        <w:rPr>
          <w:rFonts w:ascii="Times New Roman" w:hAnsi="黑体" w:eastAsia="黑体" w:cs="Times New Roman"/>
          <w:b/>
          <w:color w:val="auto"/>
          <w:sz w:val="21"/>
          <w:szCs w:val="21"/>
        </w:rPr>
      </w:pPr>
      <w:r>
        <w:rPr>
          <w:rFonts w:ascii="Times New Roman" w:hAnsi="Times New Roman" w:cs="Times New Roman"/>
          <w:color w:val="auto"/>
          <w:sz w:val="18"/>
          <w:szCs w:val="18"/>
        </w:rPr>
        <w:br w:type="page"/>
      </w:r>
      <w:r>
        <w:rPr>
          <w:rFonts w:hint="eastAsia" w:ascii="方正小标宋简体" w:hAnsi="方正小标宋简体" w:eastAsia="方正小标宋简体" w:cs="方正小标宋简体"/>
          <w:b w:val="0"/>
          <w:bCs/>
          <w:color w:val="auto"/>
          <w:kern w:val="2"/>
          <w:sz w:val="32"/>
          <w:szCs w:val="32"/>
          <w:lang w:val="en-US" w:eastAsia="zh-CN" w:bidi="ar-SA"/>
        </w:rPr>
        <w:t>表B.1  特种设备隐患排查清单——锅炉专项要求</w:t>
      </w:r>
    </w:p>
    <w:tbl>
      <w:tblPr>
        <w:tblStyle w:val="8"/>
        <w:tblW w:w="1447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843"/>
        <w:gridCol w:w="670"/>
        <w:gridCol w:w="850"/>
        <w:gridCol w:w="1418"/>
        <w:gridCol w:w="850"/>
        <w:gridCol w:w="98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29" w:hRule="exact"/>
          <w:jc w:val="center"/>
        </w:trPr>
        <w:tc>
          <w:tcPr>
            <w:tcW w:w="843" w:type="dxa"/>
            <w:vMerge w:val="restart"/>
            <w:shd w:val="clear" w:color="auto" w:fill="FFFFFF"/>
            <w:noWrap/>
            <w:vAlign w:val="center"/>
          </w:tcPr>
          <w:p>
            <w:pPr>
              <w:pStyle w:val="10"/>
              <w:snapToGrid w:val="0"/>
              <w:spacing w:line="240" w:lineRule="auto"/>
              <w:jc w:val="center"/>
              <w:rPr>
                <w:rFonts w:hint="eastAsia" w:ascii="Times New Roman" w:hAnsi="黑体" w:eastAsia="黑体" w:cs="Times New Roman"/>
                <w:b/>
                <w:bCs w:val="0"/>
                <w:color w:val="auto"/>
                <w:sz w:val="18"/>
                <w:szCs w:val="18"/>
                <w:lang w:eastAsia="zh-CN"/>
              </w:rPr>
            </w:pPr>
            <w:r>
              <w:rPr>
                <w:rFonts w:hint="eastAsia" w:ascii="Times New Roman" w:hAnsi="黑体" w:eastAsia="黑体" w:cs="Times New Roman"/>
                <w:b/>
                <w:bCs w:val="0"/>
                <w:color w:val="auto"/>
                <w:sz w:val="18"/>
                <w:szCs w:val="18"/>
                <w:lang w:eastAsia="zh-CN"/>
              </w:rPr>
              <w:t>排查内容</w:t>
            </w:r>
          </w:p>
        </w:tc>
        <w:tc>
          <w:tcPr>
            <w:tcW w:w="670" w:type="dxa"/>
            <w:vMerge w:val="restart"/>
            <w:shd w:val="clear" w:color="auto" w:fill="FFFFFF"/>
            <w:noWrap/>
            <w:vAlign w:val="center"/>
          </w:tcPr>
          <w:p>
            <w:pPr>
              <w:pStyle w:val="10"/>
              <w:snapToGrid w:val="0"/>
              <w:spacing w:line="240" w:lineRule="auto"/>
              <w:jc w:val="center"/>
              <w:rPr>
                <w:rFonts w:hint="eastAsia" w:ascii="Times New Roman" w:hAnsi="黑体" w:eastAsia="黑体" w:cs="Times New Roman"/>
                <w:b/>
                <w:bCs w:val="0"/>
                <w:color w:val="auto"/>
                <w:sz w:val="18"/>
                <w:szCs w:val="18"/>
              </w:rPr>
            </w:pPr>
            <w:r>
              <w:rPr>
                <w:rFonts w:hint="eastAsia" w:ascii="Times New Roman" w:hAnsi="黑体" w:eastAsia="黑体" w:cs="Times New Roman"/>
                <w:b/>
                <w:bCs w:val="0"/>
                <w:color w:val="auto"/>
                <w:sz w:val="18"/>
                <w:szCs w:val="18"/>
              </w:rPr>
              <w:t>排查人</w:t>
            </w:r>
          </w:p>
        </w:tc>
        <w:tc>
          <w:tcPr>
            <w:tcW w:w="850" w:type="dxa"/>
            <w:vMerge w:val="restart"/>
            <w:shd w:val="clear" w:color="auto" w:fill="FFFFFF"/>
            <w:noWrap/>
            <w:vAlign w:val="center"/>
          </w:tcPr>
          <w:p>
            <w:pPr>
              <w:pStyle w:val="10"/>
              <w:snapToGrid w:val="0"/>
              <w:spacing w:line="240" w:lineRule="auto"/>
              <w:jc w:val="center"/>
              <w:rPr>
                <w:rFonts w:hint="eastAsia" w:ascii="Times New Roman" w:hAnsi="黑体" w:eastAsia="黑体" w:cs="Times New Roman"/>
                <w:b/>
                <w:bCs w:val="0"/>
                <w:color w:val="auto"/>
                <w:sz w:val="18"/>
                <w:szCs w:val="18"/>
                <w:lang w:eastAsia="zh-CN"/>
              </w:rPr>
            </w:pPr>
            <w:r>
              <w:rPr>
                <w:rFonts w:hint="eastAsia" w:ascii="Times New Roman" w:hAnsi="黑体" w:eastAsia="黑体" w:cs="Times New Roman"/>
                <w:b/>
                <w:bCs w:val="0"/>
                <w:color w:val="auto"/>
                <w:sz w:val="18"/>
                <w:szCs w:val="18"/>
              </w:rPr>
              <w:t>排查</w:t>
            </w:r>
          </w:p>
          <w:p>
            <w:pPr>
              <w:pStyle w:val="10"/>
              <w:snapToGrid w:val="0"/>
              <w:spacing w:line="240" w:lineRule="auto"/>
              <w:jc w:val="center"/>
              <w:rPr>
                <w:rFonts w:hint="eastAsia" w:ascii="Times New Roman" w:hAnsi="黑体" w:eastAsia="黑体" w:cs="Times New Roman"/>
                <w:b/>
                <w:bCs w:val="0"/>
                <w:color w:val="auto"/>
                <w:sz w:val="18"/>
                <w:szCs w:val="18"/>
              </w:rPr>
            </w:pPr>
            <w:r>
              <w:rPr>
                <w:rFonts w:hint="eastAsia" w:ascii="Times New Roman" w:hAnsi="黑体" w:eastAsia="黑体" w:cs="Times New Roman"/>
                <w:b/>
                <w:bCs w:val="0"/>
                <w:color w:val="auto"/>
                <w:sz w:val="18"/>
                <w:szCs w:val="18"/>
              </w:rPr>
              <w:t>时间</w:t>
            </w:r>
          </w:p>
        </w:tc>
        <w:tc>
          <w:tcPr>
            <w:tcW w:w="2268" w:type="dxa"/>
            <w:gridSpan w:val="2"/>
            <w:shd w:val="clear" w:color="auto" w:fill="FFFFFF"/>
            <w:noWrap/>
            <w:vAlign w:val="center"/>
          </w:tcPr>
          <w:p>
            <w:pPr>
              <w:pStyle w:val="10"/>
              <w:snapToGrid w:val="0"/>
              <w:spacing w:line="240" w:lineRule="auto"/>
              <w:jc w:val="center"/>
              <w:rPr>
                <w:rFonts w:hint="eastAsia" w:ascii="Times New Roman" w:hAnsi="黑体" w:eastAsia="黑体" w:cs="Times New Roman"/>
                <w:b/>
                <w:bCs w:val="0"/>
                <w:color w:val="auto"/>
                <w:sz w:val="18"/>
                <w:szCs w:val="18"/>
              </w:rPr>
            </w:pPr>
            <w:r>
              <w:rPr>
                <w:rFonts w:hint="eastAsia" w:ascii="Times New Roman" w:hAnsi="黑体" w:eastAsia="黑体" w:cs="Times New Roman"/>
                <w:b/>
                <w:bCs w:val="0"/>
                <w:color w:val="auto"/>
                <w:sz w:val="18"/>
                <w:szCs w:val="18"/>
              </w:rPr>
              <w:t>排查依据</w:t>
            </w:r>
          </w:p>
        </w:tc>
        <w:tc>
          <w:tcPr>
            <w:tcW w:w="9847" w:type="dxa"/>
            <w:vMerge w:val="restart"/>
            <w:shd w:val="clear" w:color="auto" w:fill="FFFFFF"/>
            <w:noWrap/>
            <w:vAlign w:val="center"/>
          </w:tcPr>
          <w:p>
            <w:pPr>
              <w:pStyle w:val="10"/>
              <w:snapToGrid w:val="0"/>
              <w:spacing w:line="240" w:lineRule="auto"/>
              <w:jc w:val="center"/>
              <w:rPr>
                <w:rFonts w:hint="eastAsia" w:ascii="Times New Roman" w:hAnsi="黑体" w:eastAsia="黑体" w:cs="Times New Roman"/>
                <w:b/>
                <w:bCs w:val="0"/>
                <w:color w:val="auto"/>
                <w:sz w:val="18"/>
                <w:szCs w:val="18"/>
              </w:rPr>
            </w:pPr>
            <w:r>
              <w:rPr>
                <w:rFonts w:hint="eastAsia" w:ascii="Times New Roman" w:hAnsi="黑体" w:eastAsia="黑体" w:cs="Times New Roman"/>
                <w:b/>
                <w:bCs w:val="0"/>
                <w:color w:val="auto"/>
                <w:sz w:val="18"/>
                <w:szCs w:val="18"/>
              </w:rPr>
              <w:t>排查要求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36" w:hRule="exact"/>
          <w:jc w:val="center"/>
        </w:trPr>
        <w:tc>
          <w:tcPr>
            <w:tcW w:w="843"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670"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1418"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法规标准</w:t>
            </w:r>
          </w:p>
        </w:tc>
        <w:tc>
          <w:tcPr>
            <w:tcW w:w="850"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适用条款</w:t>
            </w:r>
          </w:p>
        </w:tc>
        <w:tc>
          <w:tcPr>
            <w:tcW w:w="9847" w:type="dxa"/>
            <w:vMerge w:val="continue"/>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11" w:hRule="exact"/>
          <w:jc w:val="center"/>
        </w:trPr>
        <w:tc>
          <w:tcPr>
            <w:tcW w:w="843"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11" w:name="_Hlk53690652"/>
            <w:r>
              <w:rPr>
                <w:rFonts w:ascii="Times New Roman" w:hAnsi="Times New Roman" w:cs="Times New Roman"/>
                <w:color w:val="auto"/>
                <w:sz w:val="18"/>
                <w:szCs w:val="18"/>
              </w:rPr>
              <w:t>改造修理</w:t>
            </w:r>
            <w:bookmarkEnd w:id="11"/>
          </w:p>
        </w:tc>
        <w:tc>
          <w:tcPr>
            <w:tcW w:w="670"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安全管理员</w:t>
            </w:r>
          </w:p>
        </w:tc>
        <w:tc>
          <w:tcPr>
            <w:tcW w:w="850"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使用单位自定(每年至少一次)</w:t>
            </w:r>
          </w:p>
        </w:tc>
        <w:tc>
          <w:tcPr>
            <w:tcW w:w="141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锅炉安全技术规程</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 11</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rPr>
              <w:t>20</w:t>
            </w:r>
            <w:r>
              <w:rPr>
                <w:rFonts w:ascii="Times New Roman" w:hAnsi="Times New Roman" w:cs="Times New Roman"/>
                <w:color w:val="auto"/>
                <w:sz w:val="18"/>
                <w:szCs w:val="18"/>
                <w:lang w:val="en-US" w:eastAsia="zh-CN"/>
              </w:rPr>
              <w:t>20</w:t>
            </w:r>
            <w:r>
              <w:rPr>
                <w:rFonts w:ascii="Times New Roman" w:hAnsi="Times New Roman" w:cs="Times New Roman"/>
                <w:color w:val="auto"/>
                <w:sz w:val="18"/>
                <w:szCs w:val="18"/>
              </w:rPr>
              <w:t>)</w:t>
            </w:r>
          </w:p>
        </w:tc>
        <w:tc>
          <w:tcPr>
            <w:tcW w:w="8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cs="Times New Roman"/>
                <w:color w:val="auto"/>
                <w:sz w:val="18"/>
                <w:szCs w:val="18"/>
                <w:lang w:val="en-US" w:eastAsia="zh-CN"/>
              </w:rPr>
              <w:t>7.3</w:t>
            </w:r>
          </w:p>
          <w:p>
            <w:pPr>
              <w:pStyle w:val="10"/>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cs="Times New Roman"/>
                <w:color w:val="auto"/>
                <w:sz w:val="18"/>
                <w:szCs w:val="18"/>
                <w:lang w:val="en-US" w:eastAsia="zh-CN"/>
              </w:rPr>
              <w:t>7.4</w:t>
            </w:r>
          </w:p>
        </w:tc>
        <w:tc>
          <w:tcPr>
            <w:tcW w:w="9847"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锅炉的改造、修理技术要求参照相应锅炉专业技术标准和有关技术规定。锅炉改造后不应当提高额定工作压力；不应当将热水锅炉改为蒸汽锅炉。锅炉</w:t>
            </w:r>
            <w:r>
              <w:rPr>
                <w:rFonts w:ascii="Times New Roman" w:hAnsi="Times New Roman" w:cs="Times New Roman"/>
                <w:color w:val="auto"/>
                <w:sz w:val="18"/>
                <w:szCs w:val="18"/>
                <w:lang w:eastAsia="zh-CN"/>
              </w:rPr>
              <w:t>不应当在有压力或者锅水温度较高的情况下修理受压元(部)件</w:t>
            </w:r>
            <w:r>
              <w:rPr>
                <w:rFonts w:ascii="Times New Roman" w:hAnsi="Times New Roman" w:cs="Times New Roman"/>
                <w:color w:val="auto"/>
                <w:sz w:val="18"/>
                <w:szCs w:val="18"/>
              </w:rPr>
              <w:t>。</w:t>
            </w:r>
            <w:r>
              <w:rPr>
                <w:rFonts w:ascii="Times New Roman" w:hAnsi="Times New Roman" w:cs="Times New Roman"/>
                <w:color w:val="auto"/>
                <w:sz w:val="18"/>
                <w:szCs w:val="18"/>
                <w:lang w:eastAsia="zh-CN"/>
              </w:rPr>
              <w:t>锅炉受压元(部)件采用挖补修理时，补板应当是规则的形状。锅炉受压元(部)件</w:t>
            </w:r>
            <w:r>
              <w:rPr>
                <w:rFonts w:ascii="Times New Roman" w:hAnsi="Times New Roman" w:cs="Times New Roman"/>
                <w:color w:val="auto"/>
                <w:sz w:val="18"/>
                <w:szCs w:val="18"/>
                <w:lang w:val="en-US" w:eastAsia="zh-CN"/>
              </w:rPr>
              <w:t>不应当采用贴补的方法修理，</w:t>
            </w:r>
            <w:r>
              <w:rPr>
                <w:rFonts w:ascii="Times New Roman" w:hAnsi="Times New Roman" w:cs="Times New Roman"/>
                <w:color w:val="auto"/>
                <w:sz w:val="18"/>
                <w:szCs w:val="18"/>
                <w:lang w:eastAsia="zh-CN"/>
              </w:rPr>
              <w:t>锅炉受压元(部)件</w:t>
            </w:r>
            <w:r>
              <w:rPr>
                <w:rFonts w:ascii="Times New Roman" w:hAnsi="Times New Roman" w:cs="Times New Roman"/>
                <w:color w:val="auto"/>
                <w:sz w:val="18"/>
                <w:szCs w:val="18"/>
                <w:lang w:val="en-US" w:eastAsia="zh-CN"/>
              </w:rPr>
              <w:t>因应力腐蚀、蠕变、疲劳而产生的局部损伤需要进行修理时，应当更换或者采用挖补方法。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79" w:hRule="exact"/>
          <w:jc w:val="center"/>
        </w:trPr>
        <w:tc>
          <w:tcPr>
            <w:tcW w:w="843"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67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41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《特种设备安全监察条例》</w:t>
            </w:r>
          </w:p>
        </w:tc>
        <w:tc>
          <w:tcPr>
            <w:tcW w:w="8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第二十一</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条</w:t>
            </w:r>
          </w:p>
        </w:tc>
        <w:tc>
          <w:tcPr>
            <w:tcW w:w="9847"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锅炉安装、改造、重大修理过程，必须经国务院特种设备安全监督管理部门核准的检验检测机构按照安全技术规范的要求进行监督检验，未经监督检验合格的不得交付使用。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62" w:hRule="exact"/>
          <w:jc w:val="center"/>
        </w:trPr>
        <w:tc>
          <w:tcPr>
            <w:tcW w:w="84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12" w:name="_Hlk53690672"/>
            <w:r>
              <w:rPr>
                <w:rFonts w:ascii="Times New Roman" w:hAnsi="Times New Roman" w:cs="Times New Roman"/>
                <w:color w:val="auto"/>
                <w:sz w:val="18"/>
                <w:szCs w:val="18"/>
              </w:rPr>
              <w:t>安全管理人员和操作人员</w:t>
            </w:r>
            <w:bookmarkEnd w:id="12"/>
          </w:p>
        </w:tc>
        <w:tc>
          <w:tcPr>
            <w:tcW w:w="67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418"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锅炉安全技术规程</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 11</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rPr>
              <w:t>20</w:t>
            </w:r>
            <w:r>
              <w:rPr>
                <w:rFonts w:ascii="Times New Roman" w:hAnsi="Times New Roman" w:cs="Times New Roman"/>
                <w:color w:val="auto"/>
                <w:sz w:val="18"/>
                <w:szCs w:val="18"/>
                <w:lang w:val="en-US" w:eastAsia="zh-CN"/>
              </w:rPr>
              <w:t>20</w:t>
            </w:r>
            <w:r>
              <w:rPr>
                <w:rFonts w:ascii="Times New Roman" w:hAnsi="Times New Roman" w:cs="Times New Roman"/>
                <w:color w:val="auto"/>
                <w:sz w:val="18"/>
                <w:szCs w:val="18"/>
              </w:rPr>
              <w:t>)</w:t>
            </w:r>
          </w:p>
        </w:tc>
        <w:tc>
          <w:tcPr>
            <w:tcW w:w="8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cs="Times New Roman"/>
                <w:color w:val="auto"/>
                <w:sz w:val="18"/>
                <w:szCs w:val="18"/>
                <w:lang w:val="en-US" w:eastAsia="zh-CN" w:bidi="en-US"/>
              </w:rPr>
              <w:t>8.2</w:t>
            </w:r>
          </w:p>
        </w:tc>
        <w:tc>
          <w:tcPr>
            <w:tcW w:w="9847"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锅炉作业人员应当严格执行操作规程和有关安全规章制度。</w:t>
            </w:r>
            <w:r>
              <w:rPr>
                <w:rFonts w:ascii="Times New Roman" w:hAnsi="Times New Roman" w:eastAsia="Times New Roman" w:cs="Times New Roman"/>
                <w:color w:val="auto"/>
                <w:sz w:val="18"/>
                <w:szCs w:val="18"/>
                <w:lang w:val="en-US" w:eastAsia="zh-CN" w:bidi="en-US"/>
              </w:rPr>
              <w:t>B</w:t>
            </w:r>
            <w:r>
              <w:rPr>
                <w:rFonts w:ascii="Times New Roman" w:hAnsi="Times New Roman" w:cs="Times New Roman"/>
                <w:color w:val="auto"/>
                <w:sz w:val="18"/>
                <w:szCs w:val="18"/>
              </w:rPr>
              <w:t>级及以下全自动锅炉可以不设跟班锅炉运行操作人员，但是应当建立定期巡回检查制度。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664" w:hRule="atLeast"/>
          <w:jc w:val="center"/>
        </w:trPr>
        <w:tc>
          <w:tcPr>
            <w:tcW w:w="843" w:type="dxa"/>
            <w:tcBorders>
              <w:bottom w:val="single" w:color="auto" w:sz="6"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13" w:name="_Hlk53690686"/>
            <w:r>
              <w:rPr>
                <w:rFonts w:ascii="Times New Roman" w:hAnsi="Times New Roman" w:cs="Times New Roman"/>
                <w:color w:val="auto"/>
                <w:sz w:val="18"/>
                <w:szCs w:val="18"/>
              </w:rPr>
              <w:t>管理制度</w:t>
            </w:r>
            <w:bookmarkEnd w:id="13"/>
          </w:p>
        </w:tc>
        <w:tc>
          <w:tcPr>
            <w:tcW w:w="67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1418"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tcBorders>
              <w:bottom w:val="single" w:color="auto" w:sz="6"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4</w:t>
            </w:r>
          </w:p>
        </w:tc>
        <w:tc>
          <w:tcPr>
            <w:tcW w:w="9847" w:type="dxa"/>
            <w:tcBorders>
              <w:bottom w:val="single" w:color="auto" w:sz="6" w:space="0"/>
            </w:tcBorders>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锅炉使用管理应当有以下制度</w:t>
            </w:r>
            <w:r>
              <w:rPr>
                <w:rFonts w:ascii="Times New Roman" w:hAnsi="Times New Roman" w:cs="Times New Roman"/>
                <w:color w:val="auto"/>
                <w:sz w:val="18"/>
                <w:szCs w:val="18"/>
                <w:lang w:eastAsia="zh-CN"/>
              </w:rPr>
              <w:t>和</w:t>
            </w:r>
            <w:r>
              <w:rPr>
                <w:rFonts w:ascii="Times New Roman" w:hAnsi="Times New Roman" w:cs="Times New Roman"/>
                <w:color w:val="auto"/>
                <w:sz w:val="18"/>
                <w:szCs w:val="18"/>
              </w:rPr>
              <w:t>规程：</w:t>
            </w:r>
          </w:p>
          <w:p>
            <w:pPr>
              <w:pStyle w:val="10"/>
              <w:tabs>
                <w:tab w:val="left" w:pos="336"/>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岗位责任制，包括锅炉安全管理人员、班组长、运行</w:t>
            </w:r>
            <w:r>
              <w:rPr>
                <w:rFonts w:ascii="Times New Roman" w:hAnsi="Times New Roman" w:cs="Times New Roman"/>
                <w:color w:val="auto"/>
                <w:sz w:val="18"/>
                <w:szCs w:val="18"/>
                <w:lang w:eastAsia="zh-CN"/>
              </w:rPr>
              <w:t>作业</w:t>
            </w:r>
            <w:r>
              <w:rPr>
                <w:rFonts w:ascii="Times New Roman" w:hAnsi="Times New Roman" w:cs="Times New Roman"/>
                <w:color w:val="auto"/>
                <w:sz w:val="18"/>
                <w:szCs w:val="18"/>
              </w:rPr>
              <w:t>人员、维修人员、水处理作业人员等职责范围内的任务和要求；</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巡回检查制度，明确定时检查的内容、路线和记录的项目；</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交接班制度，明确交接班要求、检查内容和交接班手续；</w:t>
            </w:r>
          </w:p>
          <w:p>
            <w:pPr>
              <w:pStyle w:val="10"/>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hAnsi="Times New Roman" w:cs="Times New Roman"/>
                <w:color w:val="auto"/>
                <w:sz w:val="18"/>
                <w:szCs w:val="18"/>
              </w:rPr>
              <w:t>)锅炉及辅助设备的操作规程，包括设备投运前的检查及准备工作、启动和正常运行的操作方法、正常停运和紧急停运的操作方法；</w:t>
            </w:r>
          </w:p>
          <w:p>
            <w:pPr>
              <w:pStyle w:val="10"/>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5</w:t>
            </w:r>
            <w:r>
              <w:rPr>
                <w:rFonts w:ascii="Times New Roman" w:hAnsi="Times New Roman" w:cs="Times New Roman"/>
                <w:color w:val="auto"/>
                <w:sz w:val="18"/>
                <w:szCs w:val="18"/>
              </w:rPr>
              <w:t>)设备维修保养制度，规定锅炉停(备)用防锈蚀内容和要求以及锅炉本体、安全附件、安全保护装置、自动仪表及燃烧和辅助设备的维护保养周期、内容和要求；</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6</w:t>
            </w:r>
            <w:r>
              <w:rPr>
                <w:rFonts w:ascii="Times New Roman" w:hAnsi="Times New Roman" w:cs="Times New Roman"/>
                <w:color w:val="auto"/>
                <w:sz w:val="18"/>
                <w:szCs w:val="18"/>
              </w:rPr>
              <w:t>)水(介)质管理制度，明确水(介)质定时检测的项目和合格标准；</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7</w:t>
            </w:r>
            <w:r>
              <w:rPr>
                <w:rFonts w:ascii="Times New Roman" w:hAnsi="Times New Roman" w:cs="Times New Roman"/>
                <w:color w:val="auto"/>
                <w:sz w:val="18"/>
                <w:szCs w:val="18"/>
              </w:rPr>
              <w:t>)安全管理制度，明确防火、防爆和防止非作业人员随意进入锅炉房的要求，保证通道畅通的措施以及事故应急预案和事故处理办法等；(</w:t>
            </w:r>
            <w:r>
              <w:rPr>
                <w:rFonts w:ascii="Times New Roman" w:hAnsi="Times New Roman" w:eastAsia="Times New Roman" w:cs="Times New Roman"/>
                <w:color w:val="auto"/>
                <w:sz w:val="18"/>
                <w:szCs w:val="18"/>
              </w:rPr>
              <w:t>8</w:t>
            </w:r>
            <w:r>
              <w:rPr>
                <w:rFonts w:ascii="Times New Roman" w:hAnsi="Times New Roman" w:cs="Times New Roman"/>
                <w:color w:val="auto"/>
                <w:sz w:val="18"/>
                <w:szCs w:val="18"/>
              </w:rPr>
              <w:t>)节能管理制度，符合锅炉节能管理有关安全技术规范的规定。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869" w:hRule="exact"/>
          <w:jc w:val="center"/>
        </w:trPr>
        <w:tc>
          <w:tcPr>
            <w:tcW w:w="84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管理记录</w:t>
            </w:r>
          </w:p>
        </w:tc>
        <w:tc>
          <w:tcPr>
            <w:tcW w:w="67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418"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8.5</w:t>
            </w:r>
          </w:p>
        </w:tc>
        <w:tc>
          <w:tcPr>
            <w:tcW w:w="9847"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锅炉使用管理记录：</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)锅炉及燃烧和辅助设备运行记录；</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)水处理设备运行及汽水品质化验记录；</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)交接班记录；</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hAnsi="Times New Roman" w:cs="Times New Roman"/>
                <w:color w:val="auto"/>
                <w:sz w:val="18"/>
                <w:szCs w:val="18"/>
              </w:rPr>
              <w:t>)锅炉及燃烧和辅助设备维修保养记录；</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5</w:t>
            </w:r>
            <w:r>
              <w:rPr>
                <w:rFonts w:ascii="Times New Roman" w:hAnsi="Times New Roman" w:cs="Times New Roman"/>
                <w:color w:val="auto"/>
                <w:sz w:val="18"/>
                <w:szCs w:val="18"/>
              </w:rPr>
              <w:t>)锅炉及燃烧和辅助设备检查记录；</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6</w:t>
            </w:r>
            <w:r>
              <w:rPr>
                <w:rFonts w:ascii="Times New Roman" w:hAnsi="Times New Roman" w:cs="Times New Roman"/>
                <w:color w:val="auto"/>
                <w:sz w:val="18"/>
                <w:szCs w:val="18"/>
              </w:rPr>
              <w:t>)锅炉运行故障及事故记录；</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7</w:t>
            </w:r>
            <w:r>
              <w:rPr>
                <w:rFonts w:ascii="Times New Roman" w:hAnsi="Times New Roman" w:cs="Times New Roman"/>
                <w:color w:val="auto"/>
                <w:sz w:val="18"/>
                <w:szCs w:val="18"/>
              </w:rPr>
              <w:t>)锅炉停炉保养记录。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40" w:hRule="exact"/>
          <w:jc w:val="center"/>
        </w:trPr>
        <w:tc>
          <w:tcPr>
            <w:tcW w:w="84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14" w:name="_Hlk53690733"/>
            <w:r>
              <w:rPr>
                <w:rFonts w:ascii="Times New Roman" w:hAnsi="Times New Roman" w:cs="Times New Roman"/>
                <w:color w:val="auto"/>
                <w:sz w:val="18"/>
                <w:szCs w:val="18"/>
              </w:rPr>
              <w:t>应急管理</w:t>
            </w:r>
            <w:bookmarkEnd w:id="14"/>
          </w:p>
        </w:tc>
        <w:tc>
          <w:tcPr>
            <w:tcW w:w="67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418"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13</w:t>
            </w:r>
          </w:p>
        </w:tc>
        <w:tc>
          <w:tcPr>
            <w:tcW w:w="9847"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锅炉使用单位应当制定事故应急措施和救援预案，包括组织方案、责任制度、报警系统及紧急状态下抢险救援的实施方案。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125" w:hRule="exact"/>
          <w:jc w:val="center"/>
        </w:trPr>
        <w:tc>
          <w:tcPr>
            <w:tcW w:w="84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技术档案</w:t>
            </w:r>
          </w:p>
        </w:tc>
        <w:tc>
          <w:tcPr>
            <w:tcW w:w="67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418"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3</w:t>
            </w:r>
          </w:p>
        </w:tc>
        <w:tc>
          <w:tcPr>
            <w:tcW w:w="9847"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锅炉使用单位应当逐台建立安全技术档案，安全技术档案至少包括以下内容：</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w:t>
            </w:r>
            <w:r>
              <w:rPr>
                <w:rFonts w:ascii="Times New Roman" w:hAnsi="Times New Roman" w:cs="Times New Roman"/>
                <w:color w:val="auto"/>
                <w:sz w:val="18"/>
                <w:szCs w:val="18"/>
                <w:lang w:val="en-US" w:eastAsia="zh-CN"/>
              </w:rPr>
              <w:t>1</w:t>
            </w:r>
            <w:r>
              <w:rPr>
                <w:rFonts w:ascii="Times New Roman" w:hAnsi="Times New Roman" w:cs="Times New Roman"/>
                <w:color w:val="auto"/>
                <w:sz w:val="18"/>
                <w:szCs w:val="18"/>
                <w:lang w:eastAsia="zh-CN"/>
              </w:rPr>
              <w:t>)特种设备使用登记证和特种设备使用登记表；</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cs="Times New Roman"/>
                <w:color w:val="auto"/>
                <w:sz w:val="18"/>
                <w:szCs w:val="18"/>
                <w:lang w:val="en-US" w:eastAsia="zh-CN"/>
              </w:rPr>
              <w:t>2</w:t>
            </w:r>
            <w:r>
              <w:rPr>
                <w:rFonts w:ascii="Times New Roman" w:hAnsi="Times New Roman" w:cs="Times New Roman"/>
                <w:color w:val="auto"/>
                <w:sz w:val="18"/>
                <w:szCs w:val="18"/>
              </w:rPr>
              <w:t>)锅炉的出厂技术</w:t>
            </w:r>
            <w:r>
              <w:rPr>
                <w:rFonts w:ascii="Times New Roman" w:hAnsi="Times New Roman" w:cs="Times New Roman"/>
                <w:color w:val="auto"/>
                <w:sz w:val="18"/>
                <w:szCs w:val="18"/>
                <w:lang w:eastAsia="zh-CN"/>
              </w:rPr>
              <w:t>资料</w:t>
            </w:r>
            <w:r>
              <w:rPr>
                <w:rFonts w:ascii="Times New Roman" w:hAnsi="Times New Roman" w:cs="Times New Roman"/>
                <w:color w:val="auto"/>
                <w:sz w:val="18"/>
                <w:szCs w:val="18"/>
              </w:rPr>
              <w:t>及</w:t>
            </w:r>
            <w:r>
              <w:rPr>
                <w:rFonts w:ascii="Times New Roman" w:hAnsi="Times New Roman" w:cs="Times New Roman"/>
                <w:color w:val="auto"/>
                <w:sz w:val="18"/>
                <w:szCs w:val="18"/>
                <w:lang w:eastAsia="zh-CN"/>
              </w:rPr>
              <w:t>监督检验证书</w:t>
            </w:r>
            <w:r>
              <w:rPr>
                <w:rFonts w:ascii="Times New Roman" w:hAnsi="Times New Roman" w:cs="Times New Roman"/>
                <w:color w:val="auto"/>
                <w:sz w:val="18"/>
                <w:szCs w:val="18"/>
              </w:rPr>
              <w:t>；</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cs="Times New Roman"/>
                <w:color w:val="auto"/>
                <w:sz w:val="18"/>
                <w:szCs w:val="18"/>
                <w:lang w:val="en-US" w:eastAsia="zh-CN"/>
              </w:rPr>
              <w:t>3</w:t>
            </w:r>
            <w:r>
              <w:rPr>
                <w:rFonts w:ascii="Times New Roman" w:hAnsi="Times New Roman" w:cs="Times New Roman"/>
                <w:color w:val="auto"/>
                <w:sz w:val="18"/>
                <w:szCs w:val="18"/>
              </w:rPr>
              <w:t>)锅炉安装、改造、修理</w:t>
            </w:r>
            <w:r>
              <w:rPr>
                <w:rFonts w:ascii="Times New Roman" w:hAnsi="Times New Roman" w:cs="Times New Roman"/>
                <w:color w:val="auto"/>
                <w:sz w:val="18"/>
                <w:szCs w:val="18"/>
                <w:lang w:eastAsia="zh-CN"/>
              </w:rPr>
              <w:t>、化学清洗</w:t>
            </w:r>
            <w:r>
              <w:rPr>
                <w:rFonts w:ascii="Times New Roman" w:hAnsi="Times New Roman" w:cs="Times New Roman"/>
                <w:color w:val="auto"/>
                <w:sz w:val="18"/>
                <w:szCs w:val="18"/>
              </w:rPr>
              <w:t>技术资料及</w:t>
            </w:r>
            <w:r>
              <w:rPr>
                <w:rFonts w:ascii="Times New Roman" w:hAnsi="Times New Roman" w:cs="Times New Roman"/>
                <w:color w:val="auto"/>
                <w:sz w:val="18"/>
                <w:szCs w:val="18"/>
                <w:lang w:eastAsia="zh-CN"/>
              </w:rPr>
              <w:t>监督检验证书或者报告</w:t>
            </w:r>
            <w:r>
              <w:rPr>
                <w:rFonts w:ascii="Times New Roman" w:hAnsi="Times New Roman" w:cs="Times New Roman"/>
                <w:color w:val="auto"/>
                <w:sz w:val="18"/>
                <w:szCs w:val="18"/>
              </w:rPr>
              <w:t>；</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cs="Times New Roman"/>
                <w:color w:val="auto"/>
                <w:sz w:val="18"/>
                <w:szCs w:val="18"/>
                <w:lang w:val="en-US" w:eastAsia="zh-CN"/>
              </w:rPr>
              <w:t>4</w:t>
            </w:r>
            <w:r>
              <w:rPr>
                <w:rFonts w:ascii="Times New Roman" w:hAnsi="Times New Roman" w:cs="Times New Roman"/>
                <w:color w:val="auto"/>
                <w:sz w:val="18"/>
                <w:szCs w:val="18"/>
              </w:rPr>
              <w:t>)水处理设备的安装调试</w:t>
            </w:r>
            <w:r>
              <w:rPr>
                <w:rFonts w:ascii="Times New Roman" w:hAnsi="Times New Roman" w:cs="Times New Roman"/>
                <w:color w:val="auto"/>
                <w:sz w:val="18"/>
                <w:szCs w:val="18"/>
                <w:lang w:eastAsia="zh-CN"/>
              </w:rPr>
              <w:t>记录、水(介)质处理定期检验报告和定期自行检查记录</w:t>
            </w:r>
            <w:r>
              <w:rPr>
                <w:rFonts w:ascii="Times New Roman" w:hAnsi="Times New Roman" w:cs="Times New Roman"/>
                <w:color w:val="auto"/>
                <w:sz w:val="18"/>
                <w:szCs w:val="18"/>
              </w:rPr>
              <w:t>；</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cs="Times New Roman"/>
                <w:color w:val="auto"/>
                <w:sz w:val="18"/>
                <w:szCs w:val="18"/>
                <w:lang w:val="en-US" w:eastAsia="zh-CN"/>
              </w:rPr>
              <w:t>5)</w:t>
            </w:r>
            <w:r>
              <w:rPr>
                <w:rFonts w:ascii="Times New Roman" w:hAnsi="Times New Roman" w:cs="Times New Roman"/>
                <w:color w:val="auto"/>
                <w:sz w:val="18"/>
                <w:szCs w:val="18"/>
              </w:rPr>
              <w:t>锅炉定期检验报告；</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cs="Times New Roman"/>
                <w:color w:val="auto"/>
                <w:sz w:val="18"/>
                <w:szCs w:val="18"/>
                <w:lang w:val="en-US" w:eastAsia="zh-CN"/>
              </w:rPr>
              <w:t>6</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锅炉日常使用状况记录</w:t>
            </w:r>
            <w:r>
              <w:rPr>
                <w:rFonts w:ascii="Times New Roman" w:hAnsi="Times New Roman" w:cs="Times New Roman"/>
                <w:color w:val="auto"/>
                <w:sz w:val="18"/>
                <w:szCs w:val="18"/>
                <w:lang w:eastAsia="zh-CN"/>
              </w:rPr>
              <w:t>和定期自行检查记录</w:t>
            </w:r>
            <w:r>
              <w:rPr>
                <w:rFonts w:ascii="Times New Roman" w:hAnsi="Times New Roman" w:cs="Times New Roman"/>
                <w:color w:val="auto"/>
                <w:sz w:val="18"/>
                <w:szCs w:val="18"/>
              </w:rPr>
              <w:t>；</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cs="Times New Roman"/>
                <w:color w:val="auto"/>
                <w:sz w:val="18"/>
                <w:szCs w:val="18"/>
                <w:lang w:val="en-US" w:eastAsia="zh-CN"/>
              </w:rPr>
              <w:t>7)</w:t>
            </w:r>
            <w:r>
              <w:rPr>
                <w:rFonts w:ascii="Times New Roman" w:hAnsi="Times New Roman" w:cs="Times New Roman"/>
                <w:color w:val="auto"/>
                <w:sz w:val="18"/>
                <w:szCs w:val="18"/>
              </w:rPr>
              <w:t>锅炉及其安全附件、安全保护装置及</w:t>
            </w:r>
            <w:r>
              <w:rPr>
                <w:rFonts w:ascii="Times New Roman" w:hAnsi="Times New Roman" w:cs="Times New Roman"/>
                <w:color w:val="auto"/>
                <w:sz w:val="18"/>
                <w:szCs w:val="18"/>
                <w:lang w:eastAsia="zh-CN"/>
              </w:rPr>
              <w:t>测量调控装置校验报告、试验记录及</w:t>
            </w:r>
            <w:r>
              <w:rPr>
                <w:rFonts w:ascii="Times New Roman" w:hAnsi="Times New Roman" w:cs="Times New Roman"/>
                <w:color w:val="auto"/>
                <w:sz w:val="18"/>
                <w:szCs w:val="18"/>
              </w:rPr>
              <w:t>日常维护保养记录；</w:t>
            </w:r>
          </w:p>
          <w:p>
            <w:pPr>
              <w:pStyle w:val="10"/>
              <w:tabs>
                <w:tab w:val="left" w:pos="317"/>
              </w:tabs>
              <w:adjustRightInd w:val="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cs="Times New Roman"/>
                <w:color w:val="auto"/>
                <w:sz w:val="18"/>
                <w:szCs w:val="18"/>
                <w:lang w:val="en-US" w:eastAsia="zh-CN"/>
              </w:rPr>
              <w:t>8</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锅炉运行故障和事故记录</w:t>
            </w:r>
            <w:r>
              <w:rPr>
                <w:rFonts w:ascii="Times New Roman" w:hAnsi="Times New Roman" w:cs="Times New Roman"/>
                <w:color w:val="auto"/>
                <w:sz w:val="18"/>
                <w:szCs w:val="18"/>
                <w:lang w:eastAsia="zh-CN"/>
              </w:rPr>
              <w:t>及事故处理报告</w:t>
            </w:r>
            <w:r>
              <w:rPr>
                <w:rFonts w:ascii="Times New Roman" w:hAnsi="Times New Roman" w:cs="Times New Roman"/>
                <w:color w:val="auto"/>
                <w:sz w:val="18"/>
                <w:szCs w:val="18"/>
              </w:rPr>
              <w:t>。</w:t>
            </w:r>
          </w:p>
        </w:tc>
      </w:tr>
    </w:tbl>
    <w:p>
      <w:pPr>
        <w:rPr>
          <w:rFonts w:ascii="Times New Roman" w:hAnsi="Times New Roman" w:eastAsia="宋体" w:cs="Times New Roman"/>
          <w:color w:val="auto"/>
        </w:rPr>
      </w:pPr>
    </w:p>
    <w:tbl>
      <w:tblPr>
        <w:tblStyle w:val="8"/>
        <w:tblW w:w="1469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843"/>
        <w:gridCol w:w="637"/>
        <w:gridCol w:w="850"/>
        <w:gridCol w:w="1276"/>
        <w:gridCol w:w="851"/>
        <w:gridCol w:w="102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29" w:hRule="exact"/>
          <w:jc w:val="center"/>
        </w:trPr>
        <w:tc>
          <w:tcPr>
            <w:tcW w:w="843"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排查内容</w:t>
            </w:r>
          </w:p>
        </w:tc>
        <w:tc>
          <w:tcPr>
            <w:tcW w:w="637"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排查人</w:t>
            </w:r>
          </w:p>
        </w:tc>
        <w:tc>
          <w:tcPr>
            <w:tcW w:w="850"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rPr>
              <w:t>排查</w:t>
            </w:r>
          </w:p>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时间</w:t>
            </w:r>
          </w:p>
        </w:tc>
        <w:tc>
          <w:tcPr>
            <w:tcW w:w="2127" w:type="dxa"/>
            <w:gridSpan w:val="2"/>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排查依据</w:t>
            </w:r>
          </w:p>
        </w:tc>
        <w:tc>
          <w:tcPr>
            <w:tcW w:w="10238"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36" w:hRule="exact"/>
          <w:jc w:val="center"/>
        </w:trPr>
        <w:tc>
          <w:tcPr>
            <w:tcW w:w="843"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637"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1276"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法规标准</w:t>
            </w:r>
          </w:p>
        </w:tc>
        <w:tc>
          <w:tcPr>
            <w:tcW w:w="851"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适用条款</w:t>
            </w:r>
          </w:p>
        </w:tc>
        <w:tc>
          <w:tcPr>
            <w:tcW w:w="10238" w:type="dxa"/>
            <w:vMerge w:val="continue"/>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40" w:hRule="exact"/>
          <w:jc w:val="center"/>
        </w:trPr>
        <w:tc>
          <w:tcPr>
            <w:tcW w:w="84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技术档案(电站锅炉</w:t>
            </w:r>
          </w:p>
        </w:tc>
        <w:tc>
          <w:tcPr>
            <w:tcW w:w="63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安全管理员</w:t>
            </w:r>
          </w:p>
        </w:tc>
        <w:tc>
          <w:tcPr>
            <w:tcW w:w="8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总体验收</w:t>
            </w:r>
          </w:p>
        </w:tc>
        <w:tc>
          <w:tcPr>
            <w:tcW w:w="1276"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锅炉安全技术规程</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 11</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rPr>
              <w:t>20</w:t>
            </w:r>
            <w:r>
              <w:rPr>
                <w:rFonts w:ascii="Times New Roman" w:hAnsi="Times New Roman" w:cs="Times New Roman"/>
                <w:color w:val="auto"/>
                <w:sz w:val="18"/>
                <w:szCs w:val="18"/>
                <w:lang w:val="en-US" w:eastAsia="zh-CN"/>
              </w:rPr>
              <w:t>20</w:t>
            </w:r>
            <w:r>
              <w:rPr>
                <w:rFonts w:ascii="Times New Roman" w:hAnsi="Times New Roman" w:cs="Times New Roman"/>
                <w:color w:val="auto"/>
                <w:sz w:val="18"/>
                <w:szCs w:val="18"/>
              </w:rPr>
              <w:t>)</w:t>
            </w: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15.1</w:t>
            </w:r>
          </w:p>
        </w:tc>
        <w:tc>
          <w:tcPr>
            <w:tcW w:w="10238"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锅炉安装单位在总体验收合格后应当及时将</w:t>
            </w:r>
            <w:r>
              <w:rPr>
                <w:rFonts w:ascii="Times New Roman" w:hAnsi="Times New Roman" w:cs="Times New Roman"/>
                <w:color w:val="auto"/>
                <w:sz w:val="18"/>
                <w:szCs w:val="18"/>
                <w:lang w:eastAsia="zh-CN"/>
              </w:rPr>
              <w:t>锅炉和</w:t>
            </w:r>
            <w:r>
              <w:rPr>
                <w:rFonts w:ascii="Times New Roman" w:hAnsi="Times New Roman" w:cs="Times New Roman"/>
                <w:color w:val="auto"/>
                <w:sz w:val="18"/>
                <w:szCs w:val="18"/>
              </w:rPr>
              <w:t>主蒸汽管道、主给水管道、再热蒸汽管道及其支吊架和焊缝位置等技术资料移交给使用单位存入锅炉安全技术档案。使用单位应当做好</w:t>
            </w:r>
            <w:r>
              <w:rPr>
                <w:rFonts w:ascii="Times New Roman" w:hAnsi="Times New Roman" w:cs="Times New Roman"/>
                <w:color w:val="auto"/>
                <w:sz w:val="18"/>
                <w:szCs w:val="18"/>
                <w:lang w:eastAsia="zh-CN"/>
              </w:rPr>
              <w:t>锅炉、</w:t>
            </w:r>
            <w:r>
              <w:rPr>
                <w:rFonts w:ascii="Times New Roman" w:hAnsi="Times New Roman" w:cs="Times New Roman"/>
                <w:color w:val="auto"/>
                <w:sz w:val="18"/>
                <w:szCs w:val="18"/>
              </w:rPr>
              <w:t>管道和阀门的有关运行、检验、改造、修理以及事故等记录。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110" w:hRule="exact"/>
          <w:jc w:val="center"/>
        </w:trPr>
        <w:tc>
          <w:tcPr>
            <w:tcW w:w="843"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经常性维护保养</w:t>
            </w:r>
          </w:p>
        </w:tc>
        <w:tc>
          <w:tcPr>
            <w:tcW w:w="637"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锅炉作业人员</w:t>
            </w:r>
          </w:p>
        </w:tc>
        <w:tc>
          <w:tcPr>
            <w:tcW w:w="850"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使用单</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位自定</w:t>
            </w:r>
          </w:p>
        </w:tc>
        <w:tc>
          <w:tcPr>
            <w:tcW w:w="127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6</w:t>
            </w:r>
          </w:p>
        </w:tc>
        <w:tc>
          <w:tcPr>
            <w:tcW w:w="10238" w:type="dxa"/>
            <w:shd w:val="clear" w:color="auto" w:fill="FFFFFF"/>
            <w:noWrap/>
            <w:vAlign w:val="center"/>
          </w:tcPr>
          <w:p>
            <w:pPr>
              <w:pStyle w:val="10"/>
              <w:keepNext w:val="0"/>
              <w:keepLines w:val="0"/>
              <w:pageBreakBefore w:val="0"/>
              <w:widowControl w:val="0"/>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rPr>
            </w:pPr>
            <w:r>
              <w:rPr>
                <w:rFonts w:ascii="Times New Roman" w:hAnsi="Times New Roman" w:cs="Times New Roman"/>
                <w:color w:val="auto"/>
                <w:sz w:val="18"/>
                <w:szCs w:val="18"/>
              </w:rPr>
              <w:t>安全运行要求：</w:t>
            </w:r>
          </w:p>
          <w:p>
            <w:pPr>
              <w:pStyle w:val="10"/>
              <w:keepNext w:val="0"/>
              <w:keepLines w:val="0"/>
              <w:pageBreakBefore w:val="0"/>
              <w:widowControl w:val="0"/>
              <w:numPr>
                <w:ilvl w:val="0"/>
                <w:numId w:val="6"/>
              </w:numPr>
              <w:tabs>
                <w:tab w:val="left" w:pos="326"/>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rPr>
            </w:pPr>
            <w:r>
              <w:rPr>
                <w:rFonts w:ascii="Times New Roman" w:hAnsi="Times New Roman" w:cs="Times New Roman"/>
                <w:color w:val="auto"/>
                <w:sz w:val="18"/>
                <w:szCs w:val="18"/>
              </w:rPr>
              <w:t>锅炉</w:t>
            </w:r>
            <w:r>
              <w:rPr>
                <w:rFonts w:ascii="Times New Roman" w:hAnsi="Times New Roman" w:cs="Times New Roman"/>
                <w:color w:val="auto"/>
                <w:sz w:val="18"/>
                <w:szCs w:val="18"/>
                <w:lang w:eastAsia="zh-CN"/>
              </w:rPr>
              <w:t>作业</w:t>
            </w:r>
            <w:r>
              <w:rPr>
                <w:rFonts w:ascii="Times New Roman" w:hAnsi="Times New Roman" w:cs="Times New Roman"/>
                <w:color w:val="auto"/>
                <w:sz w:val="18"/>
                <w:szCs w:val="18"/>
              </w:rPr>
              <w:t>人员在锅炉运行前应当做好各种检查，按照规定的程序启动和运行，</w:t>
            </w:r>
            <w:r>
              <w:rPr>
                <w:rFonts w:ascii="Times New Roman" w:hAnsi="Times New Roman" w:cs="Times New Roman"/>
                <w:color w:val="auto"/>
                <w:sz w:val="18"/>
                <w:szCs w:val="18"/>
                <w:lang w:eastAsia="zh-CN"/>
              </w:rPr>
              <w:t>不得任意提高运行参数，</w:t>
            </w:r>
            <w:r>
              <w:rPr>
                <w:rFonts w:ascii="Times New Roman" w:hAnsi="Times New Roman" w:cs="Times New Roman"/>
                <w:color w:val="auto"/>
                <w:sz w:val="18"/>
                <w:szCs w:val="18"/>
              </w:rPr>
              <w:t>压火后应当保证锅水温度、压力不回升和锅炉不缺水；</w:t>
            </w:r>
          </w:p>
          <w:p>
            <w:pPr>
              <w:pStyle w:val="10"/>
              <w:keepNext w:val="0"/>
              <w:keepLines w:val="0"/>
              <w:pageBreakBefore w:val="0"/>
              <w:widowControl w:val="0"/>
              <w:numPr>
                <w:ilvl w:val="0"/>
                <w:numId w:val="6"/>
              </w:numPr>
              <w:tabs>
                <w:tab w:val="left" w:pos="336"/>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rPr>
            </w:pPr>
            <w:r>
              <w:rPr>
                <w:rFonts w:ascii="Times New Roman" w:hAnsi="Times New Roman" w:cs="Times New Roman"/>
                <w:color w:val="auto"/>
                <w:sz w:val="18"/>
                <w:szCs w:val="18"/>
              </w:rPr>
              <w:t>当锅炉运行中发生受压元件泄漏、炉膛严重结焦、液态排渣锅炉无法排渣、锅炉尾部烟道严重堵灰、炉墙烧红、受热面金属严重超温、汽水质量严重恶化等情况时，应当停止运行。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295" w:hRule="atLeast"/>
          <w:jc w:val="center"/>
        </w:trPr>
        <w:tc>
          <w:tcPr>
            <w:tcW w:w="84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63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27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8.7</w:t>
            </w:r>
          </w:p>
        </w:tc>
        <w:tc>
          <w:tcPr>
            <w:tcW w:w="10238"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蒸汽锅炉(电站锅炉除外)</w:t>
            </w:r>
            <w:r>
              <w:rPr>
                <w:rFonts w:ascii="Times New Roman" w:hAnsi="Times New Roman" w:cs="Times New Roman"/>
                <w:color w:val="auto"/>
                <w:sz w:val="18"/>
                <w:szCs w:val="18"/>
                <w:lang w:eastAsia="zh-CN"/>
              </w:rPr>
              <w:t>需要立即停止运行的情况：</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蒸汽锅炉(电站锅炉除外)</w:t>
            </w:r>
            <w:r>
              <w:rPr>
                <w:rFonts w:ascii="Times New Roman" w:hAnsi="Times New Roman" w:cs="Times New Roman"/>
                <w:color w:val="auto"/>
                <w:sz w:val="18"/>
                <w:szCs w:val="18"/>
                <w:lang w:eastAsia="zh-CN"/>
              </w:rPr>
              <w:t>运行中</w:t>
            </w:r>
            <w:r>
              <w:rPr>
                <w:rFonts w:ascii="Times New Roman" w:hAnsi="Times New Roman" w:cs="Times New Roman"/>
                <w:color w:val="auto"/>
                <w:sz w:val="18"/>
                <w:szCs w:val="18"/>
              </w:rPr>
              <w:t>遇有下列情况之一时，应当立即停炉：</w:t>
            </w:r>
          </w:p>
          <w:p>
            <w:pPr>
              <w:pStyle w:val="10"/>
              <w:numPr>
                <w:ilvl w:val="0"/>
                <w:numId w:val="7"/>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锅炉水位低于水位表最低可见边缘；</w:t>
            </w:r>
          </w:p>
          <w:p>
            <w:pPr>
              <w:pStyle w:val="10"/>
              <w:numPr>
                <w:ilvl w:val="0"/>
                <w:numId w:val="7"/>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不断加大给水及采取其他措施但是水位仍然继续下降时；</w:t>
            </w:r>
          </w:p>
          <w:p>
            <w:pPr>
              <w:pStyle w:val="10"/>
              <w:numPr>
                <w:ilvl w:val="0"/>
                <w:numId w:val="7"/>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锅炉满水</w:t>
            </w:r>
            <w:r>
              <w:rPr>
                <w:rFonts w:ascii="Times New Roman" w:hAnsi="Times New Roman" w:cs="Times New Roman"/>
                <w:color w:val="auto"/>
                <w:sz w:val="18"/>
                <w:szCs w:val="18"/>
                <w:lang w:eastAsia="zh-CN"/>
              </w:rPr>
              <w:t>(贯流式锅炉启动状态除外)</w:t>
            </w:r>
            <w:r>
              <w:rPr>
                <w:rFonts w:ascii="Times New Roman" w:hAnsi="Times New Roman" w:cs="Times New Roman"/>
                <w:color w:val="auto"/>
                <w:sz w:val="18"/>
                <w:szCs w:val="18"/>
              </w:rPr>
              <w:t>，水位超过最高可见水位，经过放水仍然不能见到水位时；</w:t>
            </w:r>
          </w:p>
          <w:p>
            <w:pPr>
              <w:pStyle w:val="10"/>
              <w:numPr>
                <w:ilvl w:val="0"/>
                <w:numId w:val="7"/>
              </w:numPr>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给水泵失效或者给水系统故障,不能向锅炉给水时；</w:t>
            </w:r>
          </w:p>
          <w:p>
            <w:pPr>
              <w:pStyle w:val="10"/>
              <w:numPr>
                <w:ilvl w:val="0"/>
                <w:numId w:val="7"/>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水位表、安全阀或者装设在汽空间的压力表全部失效时；</w:t>
            </w:r>
          </w:p>
          <w:p>
            <w:pPr>
              <w:pStyle w:val="10"/>
              <w:numPr>
                <w:ilvl w:val="0"/>
                <w:numId w:val="7"/>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锅炉元(部)件受损坏，危及锅炉运行操作人员安全时；</w:t>
            </w:r>
          </w:p>
          <w:p>
            <w:pPr>
              <w:pStyle w:val="10"/>
              <w:numPr>
                <w:ilvl w:val="0"/>
                <w:numId w:val="7"/>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燃烧设备损坏、炉墙倒塌或者锅炉构架被烧红等，严重威胁锅炉安全运行；</w:t>
            </w:r>
          </w:p>
          <w:p>
            <w:pPr>
              <w:pStyle w:val="10"/>
              <w:numPr>
                <w:ilvl w:val="0"/>
                <w:numId w:val="7"/>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其他危及锅炉安全运行的异常情况时。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96" w:hRule="exact"/>
          <w:jc w:val="center"/>
        </w:trPr>
        <w:tc>
          <w:tcPr>
            <w:tcW w:w="84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637"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使用单位</w:t>
            </w:r>
          </w:p>
        </w:tc>
        <w:tc>
          <w:tcPr>
            <w:tcW w:w="850"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使用单位自定(每年至少一次)</w:t>
            </w:r>
          </w:p>
        </w:tc>
        <w:tc>
          <w:tcPr>
            <w:tcW w:w="127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15.2</w:t>
            </w:r>
          </w:p>
        </w:tc>
        <w:tc>
          <w:tcPr>
            <w:tcW w:w="10238"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电站锅炉燃料管理：</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电站锅炉使用单位应当加强燃料管理。燃料入炉前应当进行燃料分析，根据分析结果进行燃烧控制与调整。燃用与设计偏差较大煤质时，应当进行燃烧调整试验。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598" w:hRule="exact"/>
          <w:jc w:val="center"/>
        </w:trPr>
        <w:tc>
          <w:tcPr>
            <w:tcW w:w="84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63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27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15.3</w:t>
            </w:r>
          </w:p>
        </w:tc>
        <w:tc>
          <w:tcPr>
            <w:tcW w:w="10238"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电站锅炉启动、停炉：</w:t>
            </w:r>
          </w:p>
          <w:p>
            <w:pPr>
              <w:pStyle w:val="10"/>
              <w:tabs>
                <w:tab w:val="left" w:pos="34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)电站锅炉使用单位应当根据制造单位提供的有关资料和设备结构特点或者通过试验确定锅炉启动、停炉方式，并且绘制锅炉控制(启、停)曲线；</w:t>
            </w:r>
          </w:p>
          <w:p>
            <w:pPr>
              <w:pStyle w:val="10"/>
              <w:tabs>
                <w:tab w:val="left" w:pos="34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)电站锅炉启动初期应当控制锅炉燃料量、炉膛出口烟温,使升温、升压过程符合启动曲线，锅炉启停过程中应当</w:t>
            </w:r>
            <w:r>
              <w:rPr>
                <w:rFonts w:ascii="Times New Roman" w:hAnsi="Times New Roman" w:cs="Times New Roman"/>
                <w:color w:val="auto"/>
                <w:sz w:val="18"/>
                <w:szCs w:val="18"/>
                <w:lang w:eastAsia="zh-CN"/>
              </w:rPr>
              <w:t>监控锅炉各部位的膨胀情况，</w:t>
            </w:r>
            <w:r>
              <w:rPr>
                <w:rFonts w:ascii="Times New Roman" w:hAnsi="Times New Roman" w:cs="Times New Roman"/>
                <w:color w:val="auto"/>
                <w:sz w:val="18"/>
                <w:szCs w:val="18"/>
              </w:rPr>
              <w:t>做好膨胀指示记录，各部位应当均匀膨胀，并且应当监控锅筒壁温差；</w:t>
            </w:r>
          </w:p>
          <w:p>
            <w:pPr>
              <w:pStyle w:val="10"/>
              <w:tabs>
                <w:tab w:val="left" w:pos="34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)电站锅炉停炉的降温降压过程应当符合停炉曲线要求，熄火后的通风和放水，应当避免使受压部件快速冷却；锅炉停炉后压力未降低至大气压力以及排烟温度未降至</w:t>
            </w:r>
            <w:r>
              <w:rPr>
                <w:rFonts w:ascii="Times New Roman" w:hAnsi="Times New Roman" w:eastAsia="Times New Roman" w:cs="Times New Roman"/>
                <w:color w:val="auto"/>
                <w:sz w:val="18"/>
                <w:szCs w:val="18"/>
              </w:rPr>
              <w:t>60</w:t>
            </w:r>
            <w:r>
              <w:rPr>
                <w:rFonts w:ascii="Times New Roman" w:cs="Times New Roman"/>
                <w:color w:val="auto"/>
                <w:sz w:val="18"/>
                <w:szCs w:val="18"/>
                <w:lang w:eastAsia="zh-CN"/>
              </w:rPr>
              <w:t>℃</w:t>
            </w:r>
            <w:r>
              <w:rPr>
                <w:rFonts w:ascii="Times New Roman" w:hAnsi="Times New Roman" w:cs="Times New Roman"/>
                <w:color w:val="auto"/>
                <w:sz w:val="18"/>
                <w:szCs w:val="18"/>
              </w:rPr>
              <w:t>以下时，应当对锅炉进行严密监控。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684" w:hRule="exact"/>
          <w:jc w:val="center"/>
        </w:trPr>
        <w:tc>
          <w:tcPr>
            <w:tcW w:w="84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63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27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15</w:t>
            </w:r>
            <w:r>
              <w:rPr>
                <w:rFonts w:ascii="Times New Roman" w:hAnsi="Times New Roman" w:eastAsia="Times New Roman" w:cs="Times New Roman"/>
                <w:color w:val="auto"/>
                <w:sz w:val="18"/>
                <w:szCs w:val="18"/>
                <w:lang w:val="en-US" w:eastAsia="en-US" w:bidi="en-US"/>
              </w:rPr>
              <w:t>.4</w:t>
            </w:r>
          </w:p>
        </w:tc>
        <w:tc>
          <w:tcPr>
            <w:tcW w:w="10238" w:type="dxa"/>
            <w:shd w:val="clear" w:color="auto" w:fill="FFFFFF"/>
            <w:noWrap/>
            <w:vAlign w:val="center"/>
          </w:tcPr>
          <w:p>
            <w:pPr>
              <w:pStyle w:val="10"/>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电站锅炉运行中遇到下列情况时，应当停止向炉膛送入燃料，立即停炉：</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)锅炉严重缺水；</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)锅炉严重满水；</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)直流锅炉断水；</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hAnsi="Times New Roman" w:cs="Times New Roman"/>
                <w:color w:val="auto"/>
                <w:sz w:val="18"/>
                <w:szCs w:val="18"/>
              </w:rPr>
              <w:t>)锅水循环泵发生故障，不能保证锅炉安全运行；</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5</w:t>
            </w:r>
            <w:r>
              <w:rPr>
                <w:rFonts w:ascii="Times New Roman" w:hAnsi="Times New Roman" w:cs="Times New Roman"/>
                <w:color w:val="auto"/>
                <w:sz w:val="18"/>
                <w:szCs w:val="18"/>
              </w:rPr>
              <w:t>)水位装置失效无法监视水位；</w:t>
            </w:r>
          </w:p>
          <w:p>
            <w:pPr>
              <w:pStyle w:val="10"/>
              <w:tabs>
                <w:tab w:val="left" w:pos="32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6</w:t>
            </w:r>
            <w:r>
              <w:rPr>
                <w:rFonts w:ascii="Times New Roman" w:hAnsi="Times New Roman" w:cs="Times New Roman"/>
                <w:color w:val="auto"/>
                <w:sz w:val="18"/>
                <w:szCs w:val="18"/>
              </w:rPr>
              <w:t>)</w:t>
            </w:r>
            <w:r>
              <w:rPr>
                <w:rFonts w:ascii="Times New Roman" w:hAnsi="Times New Roman" w:cs="Times New Roman"/>
                <w:color w:val="auto"/>
                <w:sz w:val="18"/>
                <w:szCs w:val="18"/>
                <w:lang w:eastAsia="zh-CN"/>
              </w:rPr>
              <w:t>主要汽水管道泄漏或</w:t>
            </w:r>
            <w:r>
              <w:rPr>
                <w:rFonts w:ascii="Times New Roman" w:hAnsi="Times New Roman" w:cs="Times New Roman"/>
                <w:color w:val="auto"/>
                <w:sz w:val="18"/>
                <w:szCs w:val="18"/>
              </w:rPr>
              <w:t>锅炉范围内连接管道爆破；</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7</w:t>
            </w:r>
            <w:r>
              <w:rPr>
                <w:rFonts w:ascii="Times New Roman" w:hAnsi="Times New Roman" w:cs="Times New Roman"/>
                <w:color w:val="auto"/>
                <w:sz w:val="18"/>
                <w:szCs w:val="18"/>
              </w:rPr>
              <w:t>)再热器蒸汽中断(制造单位有规定者除外)；</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8</w:t>
            </w:r>
            <w:r>
              <w:rPr>
                <w:rFonts w:ascii="Times New Roman" w:hAnsi="Times New Roman" w:cs="Times New Roman"/>
                <w:color w:val="auto"/>
                <w:sz w:val="18"/>
                <w:szCs w:val="18"/>
              </w:rPr>
              <w:t>)炉膛熄火；</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9</w:t>
            </w:r>
            <w:r>
              <w:rPr>
                <w:rFonts w:ascii="Times New Roman" w:hAnsi="Times New Roman" w:cs="Times New Roman"/>
                <w:color w:val="auto"/>
                <w:sz w:val="18"/>
                <w:szCs w:val="18"/>
              </w:rPr>
              <w:t>)燃油(气)锅炉油(气)压力严重下降；</w:t>
            </w:r>
          </w:p>
          <w:p>
            <w:pPr>
              <w:pStyle w:val="10"/>
              <w:tabs>
                <w:tab w:val="left" w:pos="408"/>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10</w:t>
            </w:r>
            <w:r>
              <w:rPr>
                <w:rFonts w:ascii="Times New Roman" w:hAnsi="Times New Roman" w:cs="Times New Roman"/>
                <w:color w:val="auto"/>
                <w:sz w:val="18"/>
                <w:szCs w:val="18"/>
              </w:rPr>
              <w:t>)安全阀全部失效或者锅炉超压；</w:t>
            </w:r>
          </w:p>
          <w:p>
            <w:pPr>
              <w:pStyle w:val="10"/>
              <w:tabs>
                <w:tab w:val="left" w:pos="408"/>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11</w:t>
            </w:r>
            <w:r>
              <w:rPr>
                <w:rFonts w:ascii="Times New Roman" w:hAnsi="Times New Roman" w:cs="Times New Roman"/>
                <w:color w:val="auto"/>
                <w:sz w:val="18"/>
                <w:szCs w:val="18"/>
              </w:rPr>
              <w:t>)热工仪表失效、控制电(气)源中断，无法监视、调整主要运行参数；</w:t>
            </w:r>
          </w:p>
          <w:p>
            <w:pPr>
              <w:pStyle w:val="10"/>
              <w:tabs>
                <w:tab w:val="left" w:pos="408"/>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12</w:t>
            </w:r>
            <w:r>
              <w:rPr>
                <w:rFonts w:ascii="Times New Roman" w:hAnsi="Times New Roman" w:cs="Times New Roman"/>
                <w:color w:val="auto"/>
                <w:sz w:val="18"/>
                <w:szCs w:val="18"/>
              </w:rPr>
              <w:t>)严重危及人身和设备安全以及制造单位有特殊规定的其他情况。</w:t>
            </w:r>
          </w:p>
        </w:tc>
      </w:tr>
    </w:tbl>
    <w:p>
      <w:pPr>
        <w:rPr>
          <w:rFonts w:ascii="Times New Roman" w:hAnsi="Times New Roman" w:cs="Times New Roman"/>
          <w:color w:val="auto"/>
        </w:rPr>
      </w:pPr>
    </w:p>
    <w:tbl>
      <w:tblPr>
        <w:tblStyle w:val="8"/>
        <w:tblW w:w="14616" w:type="dxa"/>
        <w:tblInd w:w="-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866"/>
        <w:gridCol w:w="709"/>
        <w:gridCol w:w="850"/>
        <w:gridCol w:w="1418"/>
        <w:gridCol w:w="987"/>
        <w:gridCol w:w="97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36" w:hRule="exact"/>
        </w:trPr>
        <w:tc>
          <w:tcPr>
            <w:tcW w:w="866"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排查内容</w:t>
            </w:r>
          </w:p>
        </w:tc>
        <w:tc>
          <w:tcPr>
            <w:tcW w:w="709"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排查人</w:t>
            </w:r>
          </w:p>
        </w:tc>
        <w:tc>
          <w:tcPr>
            <w:tcW w:w="850"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rPr>
              <w:t>排查</w:t>
            </w:r>
          </w:p>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时间</w:t>
            </w:r>
          </w:p>
        </w:tc>
        <w:tc>
          <w:tcPr>
            <w:tcW w:w="2405" w:type="dxa"/>
            <w:gridSpan w:val="2"/>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排查依据</w:t>
            </w:r>
          </w:p>
        </w:tc>
        <w:tc>
          <w:tcPr>
            <w:tcW w:w="9786"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83" w:hRule="exact"/>
        </w:trPr>
        <w:tc>
          <w:tcPr>
            <w:tcW w:w="866"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1418"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法规标准</w:t>
            </w:r>
          </w:p>
        </w:tc>
        <w:tc>
          <w:tcPr>
            <w:tcW w:w="987"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适用条款</w:t>
            </w:r>
          </w:p>
        </w:tc>
        <w:tc>
          <w:tcPr>
            <w:tcW w:w="9786" w:type="dxa"/>
            <w:vMerge w:val="continue"/>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66" w:hRule="atLeast"/>
        </w:trPr>
        <w:tc>
          <w:tcPr>
            <w:tcW w:w="866"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经常性维护保养</w:t>
            </w:r>
          </w:p>
        </w:tc>
        <w:tc>
          <w:tcPr>
            <w:tcW w:w="709"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锅炉作业人员</w:t>
            </w:r>
          </w:p>
        </w:tc>
        <w:tc>
          <w:tcPr>
            <w:tcW w:w="850"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使用单位自定</w:t>
            </w:r>
          </w:p>
        </w:tc>
        <w:tc>
          <w:tcPr>
            <w:tcW w:w="1418"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锅炉安全技术规程</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 11</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rPr>
              <w:t>20</w:t>
            </w:r>
            <w:r>
              <w:rPr>
                <w:rFonts w:ascii="Times New Roman" w:hAnsi="Times New Roman" w:cs="Times New Roman"/>
                <w:color w:val="auto"/>
                <w:sz w:val="18"/>
                <w:szCs w:val="18"/>
                <w:lang w:val="en-US" w:eastAsia="zh-CN"/>
              </w:rPr>
              <w:t>20</w:t>
            </w:r>
            <w:r>
              <w:rPr>
                <w:rFonts w:ascii="Times New Roman" w:hAnsi="Times New Roman" w:cs="Times New Roman"/>
                <w:color w:val="auto"/>
                <w:sz w:val="18"/>
                <w:szCs w:val="18"/>
              </w:rPr>
              <w:t>)</w:t>
            </w:r>
          </w:p>
        </w:tc>
        <w:tc>
          <w:tcPr>
            <w:tcW w:w="987" w:type="dxa"/>
            <w:shd w:val="clear" w:color="auto" w:fill="FFFFFF"/>
            <w:noWrap/>
            <w:vAlign w:val="center"/>
          </w:tcPr>
          <w:p>
            <w:pPr>
              <w:pStyle w:val="10"/>
              <w:snapToGrid w:val="0"/>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.15</w:t>
            </w:r>
            <w:r>
              <w:rPr>
                <w:rFonts w:ascii="Times New Roman" w:hAnsi="Times New Roman" w:eastAsia="Times New Roman" w:cs="Times New Roman"/>
                <w:color w:val="auto"/>
                <w:sz w:val="18"/>
                <w:szCs w:val="18"/>
                <w:lang w:val="en-US" w:eastAsia="en-US" w:bidi="en-US"/>
              </w:rPr>
              <w:t>.5</w:t>
            </w:r>
          </w:p>
        </w:tc>
        <w:tc>
          <w:tcPr>
            <w:tcW w:w="978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val="en-US" w:eastAsia="zh-CN"/>
              </w:rPr>
              <w:t>电站</w:t>
            </w:r>
            <w:r>
              <w:rPr>
                <w:rFonts w:ascii="Times New Roman" w:hAnsi="Times New Roman" w:cs="Times New Roman"/>
                <w:color w:val="auto"/>
                <w:sz w:val="18"/>
                <w:szCs w:val="18"/>
              </w:rPr>
              <w:t>锅炉水汽质量异常时，应当按照相关标准规定做好异常情况处理并且记录，且尽快查明原因，消除缺陷，恢复正常。如果不能恢复并且威胁设备安全时，应当立即采取措施，直至停止运行。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84" w:hRule="exact"/>
        </w:trPr>
        <w:tc>
          <w:tcPr>
            <w:tcW w:w="866"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1418"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15</w:t>
            </w:r>
            <w:r>
              <w:rPr>
                <w:rFonts w:ascii="Times New Roman" w:hAnsi="Times New Roman" w:eastAsia="Times New Roman" w:cs="Times New Roman"/>
                <w:color w:val="auto"/>
                <w:sz w:val="18"/>
                <w:szCs w:val="18"/>
                <w:lang w:val="en-US" w:eastAsia="en-US" w:bidi="en-US"/>
              </w:rPr>
              <w:t>.</w:t>
            </w:r>
            <w:r>
              <w:rPr>
                <w:rFonts w:ascii="Times New Roman" w:hAnsi="Times New Roman" w:cs="Times New Roman"/>
                <w:color w:val="auto"/>
                <w:sz w:val="18"/>
                <w:szCs w:val="18"/>
                <w:lang w:val="en-US" w:eastAsia="zh-CN" w:bidi="en-US"/>
              </w:rPr>
              <w:t>6</w:t>
            </w:r>
          </w:p>
        </w:tc>
        <w:tc>
          <w:tcPr>
            <w:tcW w:w="9786"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val="en-US" w:eastAsia="zh-CN"/>
              </w:rPr>
              <w:t>电站</w:t>
            </w:r>
            <w:r>
              <w:rPr>
                <w:rFonts w:ascii="Times New Roman" w:hAnsi="Times New Roman" w:cs="Times New Roman"/>
                <w:color w:val="auto"/>
                <w:sz w:val="18"/>
                <w:szCs w:val="18"/>
              </w:rPr>
              <w:t>锅炉使用单位在锅炉检修时</w:t>
            </w:r>
            <w:r>
              <w:rPr>
                <w:rFonts w:ascii="Times New Roman" w:hAnsi="Times New Roman" w:cs="Times New Roman"/>
                <w:color w:val="auto"/>
                <w:sz w:val="18"/>
                <w:szCs w:val="18"/>
                <w:lang w:eastAsia="zh-CN"/>
              </w:rPr>
              <w:t>应当进行</w:t>
            </w:r>
            <w:r>
              <w:rPr>
                <w:rFonts w:ascii="Times New Roman" w:hAnsi="Times New Roman" w:cs="Times New Roman"/>
                <w:color w:val="auto"/>
                <w:sz w:val="18"/>
                <w:szCs w:val="18"/>
              </w:rPr>
              <w:t>化学检查，</w:t>
            </w:r>
            <w:r>
              <w:rPr>
                <w:rFonts w:ascii="Times New Roman" w:hAnsi="Times New Roman" w:cs="Times New Roman"/>
                <w:color w:val="auto"/>
                <w:sz w:val="18"/>
                <w:szCs w:val="18"/>
                <w:lang w:eastAsia="zh-CN"/>
              </w:rPr>
              <w:t>按照相关标准规定</w:t>
            </w:r>
            <w:r>
              <w:rPr>
                <w:rFonts w:ascii="Times New Roman" w:hAnsi="Times New Roman" w:cs="Times New Roman"/>
                <w:color w:val="auto"/>
                <w:sz w:val="18"/>
                <w:szCs w:val="18"/>
              </w:rPr>
              <w:t>，对省煤器、锅筒、启动(汽水)分离器</w:t>
            </w:r>
            <w:r>
              <w:rPr>
                <w:rFonts w:ascii="Times New Roman" w:hAnsi="Times New Roman" w:cs="Times New Roman"/>
                <w:color w:val="auto"/>
                <w:sz w:val="18"/>
                <w:szCs w:val="18"/>
                <w:lang w:eastAsia="zh-CN"/>
              </w:rPr>
              <w:t>及储水箱</w:t>
            </w:r>
            <w:r>
              <w:rPr>
                <w:rFonts w:ascii="Times New Roman" w:hAnsi="Times New Roman" w:cs="Times New Roman"/>
                <w:color w:val="auto"/>
                <w:sz w:val="18"/>
                <w:szCs w:val="18"/>
              </w:rPr>
              <w:t>、水冷壁、过热器、再热器等部件的腐蚀、结垢、积盐等情况进行检查</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评价</w:t>
            </w:r>
            <w:r>
              <w:rPr>
                <w:rFonts w:ascii="Times New Roman" w:hAnsi="Times New Roman" w:cs="Times New Roman"/>
                <w:color w:val="auto"/>
                <w:sz w:val="18"/>
                <w:szCs w:val="18"/>
                <w:lang w:eastAsia="zh-CN"/>
              </w:rPr>
              <w:t>，并且对异常情况进行妥善处理。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14" w:hRule="exact"/>
        </w:trPr>
        <w:tc>
          <w:tcPr>
            <w:tcW w:w="866"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1418"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8.10</w:t>
            </w:r>
          </w:p>
        </w:tc>
        <w:tc>
          <w:tcPr>
            <w:tcW w:w="978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锅炉排污：</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锅炉使用单位应当根据锅水水质确定排污方式及排污量，并且按照水质变化进行调整。蒸汽锅炉定期排污时宜在低负荷时进行，同时严格监视水位。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89" w:hRule="exact"/>
        </w:trPr>
        <w:tc>
          <w:tcPr>
            <w:tcW w:w="866"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1418"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8.11</w:t>
            </w:r>
          </w:p>
        </w:tc>
        <w:tc>
          <w:tcPr>
            <w:tcW w:w="978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锅炉化学清洗：</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当锅炉结垢(有机热载体锅炉循环管路中产生油泥、油垢)超过标准规定值时，</w:t>
            </w:r>
            <w:r>
              <w:rPr>
                <w:rFonts w:ascii="Times New Roman" w:hAnsi="Times New Roman" w:cs="Times New Roman"/>
                <w:color w:val="auto"/>
                <w:sz w:val="18"/>
                <w:szCs w:val="18"/>
              </w:rPr>
              <w:t>锅炉使用单位应当</w:t>
            </w:r>
            <w:r>
              <w:rPr>
                <w:rFonts w:ascii="Times New Roman" w:hAnsi="Times New Roman" w:cs="Times New Roman"/>
                <w:color w:val="auto"/>
                <w:sz w:val="18"/>
                <w:szCs w:val="18"/>
                <w:lang w:eastAsia="zh-CN"/>
              </w:rPr>
              <w:t>约请具有相应能力的化学清洗单位，按照相关国家标准的要求及时进行化学清洗。化学清洗过程应当接受特种设备检验机构的监督检验。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200" w:hRule="exact"/>
        </w:trPr>
        <w:tc>
          <w:tcPr>
            <w:tcW w:w="866"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1418"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87" w:type="dxa"/>
            <w:shd w:val="clear" w:color="auto" w:fill="FFFFFF"/>
            <w:noWrap/>
            <w:vAlign w:val="center"/>
          </w:tcPr>
          <w:p>
            <w:pPr>
              <w:pStyle w:val="10"/>
              <w:snapToGrid w:val="0"/>
              <w:spacing w:line="240" w:lineRule="auto"/>
              <w:jc w:val="center"/>
              <w:rPr>
                <w:rFonts w:ascii="Times New Roman" w:hAnsi="Times New Roman" w:eastAsia="Times New Roman" w:cs="Times New Roman"/>
                <w:color w:val="auto"/>
                <w:sz w:val="18"/>
                <w:szCs w:val="18"/>
                <w:lang w:val="en-US" w:eastAsia="en-US" w:bidi="en-US"/>
              </w:rPr>
            </w:pPr>
            <w:r>
              <w:rPr>
                <w:rFonts w:ascii="Times New Roman" w:hAnsi="Times New Roman" w:eastAsia="Times New Roman" w:cs="Times New Roman"/>
                <w:color w:val="auto"/>
                <w:sz w:val="18"/>
                <w:szCs w:val="18"/>
                <w:lang w:val="en-US" w:eastAsia="en-US" w:bidi="en-US"/>
              </w:rPr>
              <w:t>8.</w:t>
            </w:r>
            <w:r>
              <w:rPr>
                <w:rFonts w:ascii="Times New Roman" w:hAnsi="Times New Roman" w:cs="Times New Roman"/>
                <w:color w:val="auto"/>
                <w:sz w:val="18"/>
                <w:szCs w:val="18"/>
                <w:lang w:val="en-US" w:eastAsia="zh-CN" w:bidi="en-US"/>
              </w:rPr>
              <w:t>9</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en-US" w:bidi="en-US"/>
              </w:rPr>
              <w:t>9.</w:t>
            </w:r>
            <w:r>
              <w:rPr>
                <w:rFonts w:ascii="Times New Roman" w:hAnsi="Times New Roman" w:cs="Times New Roman"/>
                <w:color w:val="auto"/>
                <w:sz w:val="18"/>
                <w:szCs w:val="18"/>
                <w:lang w:val="en-US" w:eastAsia="zh-CN" w:bidi="en-US"/>
              </w:rPr>
              <w:t>5.1</w:t>
            </w:r>
          </w:p>
        </w:tc>
        <w:tc>
          <w:tcPr>
            <w:tcW w:w="9786"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锅炉水(介)质处理</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w:t>
            </w:r>
            <w:r>
              <w:rPr>
                <w:rFonts w:ascii="Times New Roman" w:hAnsi="Times New Roman" w:cs="Times New Roman"/>
                <w:color w:val="auto"/>
                <w:sz w:val="18"/>
                <w:szCs w:val="18"/>
                <w:lang w:eastAsia="zh-CN"/>
              </w:rPr>
              <w:t>做好锅炉水(介)质处理工作，保证水汽或者有机热载体的质量符合标准要求。</w:t>
            </w:r>
            <w:r>
              <w:rPr>
                <w:rFonts w:ascii="Times New Roman" w:hAnsi="Times New Roman" w:cs="Times New Roman"/>
                <w:color w:val="auto"/>
                <w:sz w:val="18"/>
                <w:szCs w:val="18"/>
              </w:rPr>
              <w:t>无可靠水处理措施</w:t>
            </w:r>
            <w:r>
              <w:rPr>
                <w:rFonts w:ascii="Times New Roman" w:hAnsi="Times New Roman" w:cs="Times New Roman"/>
                <w:color w:val="auto"/>
                <w:sz w:val="18"/>
                <w:szCs w:val="18"/>
                <w:lang w:eastAsia="zh-CN"/>
              </w:rPr>
              <w:t>的</w:t>
            </w:r>
            <w:r>
              <w:rPr>
                <w:rFonts w:ascii="Times New Roman" w:hAnsi="Times New Roman" w:cs="Times New Roman"/>
                <w:color w:val="auto"/>
                <w:sz w:val="18"/>
                <w:szCs w:val="18"/>
              </w:rPr>
              <w:t>锅炉不应当投入运行。水处理系统运行应当符合以下要求：</w:t>
            </w:r>
          </w:p>
          <w:p>
            <w:pPr>
              <w:pStyle w:val="10"/>
              <w:numPr>
                <w:ilvl w:val="0"/>
                <w:numId w:val="8"/>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保证水处理设备及加药装置正常运行；</w:t>
            </w:r>
          </w:p>
          <w:p>
            <w:pPr>
              <w:pStyle w:val="10"/>
              <w:numPr>
                <w:ilvl w:val="0"/>
                <w:numId w:val="8"/>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采用必要的检测手段监测水汽质量，</w:t>
            </w:r>
            <w:r>
              <w:rPr>
                <w:rFonts w:ascii="Times New Roman" w:hAnsi="Times New Roman" w:cs="Times New Roman"/>
                <w:color w:val="auto"/>
                <w:sz w:val="18"/>
                <w:szCs w:val="18"/>
                <w:lang w:eastAsia="zh-CN"/>
              </w:rPr>
              <w:t>每班至少化验</w:t>
            </w:r>
            <w:r>
              <w:rPr>
                <w:rFonts w:ascii="Times New Roman" w:hAnsi="Times New Roman" w:cs="Times New Roman"/>
                <w:color w:val="auto"/>
                <w:sz w:val="18"/>
                <w:szCs w:val="18"/>
                <w:lang w:val="en-US" w:eastAsia="zh-CN"/>
              </w:rPr>
              <w:t>1次水汽质量，当水汽质量不符合标准要求时，应当及时查找原因并处理至合格；</w:t>
            </w:r>
          </w:p>
          <w:p>
            <w:pPr>
              <w:pStyle w:val="10"/>
              <w:numPr>
                <w:ilvl w:val="0"/>
                <w:numId w:val="8"/>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严格控制疏水、</w:t>
            </w:r>
            <w:r>
              <w:rPr>
                <w:rFonts w:ascii="Times New Roman" w:hAnsi="Times New Roman" w:cs="Times New Roman"/>
                <w:color w:val="auto"/>
                <w:sz w:val="18"/>
                <w:szCs w:val="18"/>
                <w:lang w:eastAsia="zh-CN"/>
              </w:rPr>
              <w:t>蒸汽冷凝回水的水质</w:t>
            </w:r>
            <w:r>
              <w:rPr>
                <w:rFonts w:ascii="Times New Roman" w:hAnsi="Times New Roman" w:cs="Times New Roman"/>
                <w:color w:val="auto"/>
                <w:sz w:val="18"/>
                <w:szCs w:val="18"/>
              </w:rPr>
              <w:t>，不合格时</w:t>
            </w:r>
            <w:r>
              <w:rPr>
                <w:rFonts w:ascii="Times New Roman" w:hAnsi="Times New Roman" w:cs="Times New Roman"/>
                <w:color w:val="auto"/>
                <w:sz w:val="18"/>
                <w:szCs w:val="18"/>
                <w:lang w:eastAsia="zh-CN"/>
              </w:rPr>
              <w:t>不得回收进入锅炉</w:t>
            </w:r>
            <w:r>
              <w:rPr>
                <w:rFonts w:ascii="Times New Roman" w:hAnsi="Times New Roman" w:cs="Times New Roman"/>
                <w:color w:val="auto"/>
                <w:sz w:val="18"/>
                <w:szCs w:val="18"/>
              </w:rPr>
              <w:t>。</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注：</w:t>
            </w:r>
            <w:r>
              <w:rPr>
                <w:rFonts w:ascii="Times New Roman" w:hAnsi="Times New Roman" w:cs="Times New Roman"/>
                <w:color w:val="auto"/>
                <w:sz w:val="18"/>
                <w:szCs w:val="18"/>
              </w:rPr>
              <w:t>工业锅炉的水质应当符合</w:t>
            </w:r>
            <w:r>
              <w:rPr>
                <w:rFonts w:ascii="Times New Roman" w:hAnsi="Times New Roman" w:eastAsia="Times New Roman" w:cs="Times New Roman"/>
                <w:color w:val="auto"/>
                <w:sz w:val="18"/>
                <w:szCs w:val="18"/>
                <w:lang w:val="en-US" w:eastAsia="zh-CN" w:bidi="en-US"/>
              </w:rPr>
              <w:t xml:space="preserve">GB/T </w:t>
            </w:r>
            <w:r>
              <w:rPr>
                <w:rFonts w:ascii="Times New Roman" w:hAnsi="Times New Roman" w:eastAsia="Times New Roman" w:cs="Times New Roman"/>
                <w:color w:val="auto"/>
                <w:sz w:val="18"/>
                <w:szCs w:val="18"/>
              </w:rPr>
              <w:t>1576«</w:t>
            </w:r>
            <w:r>
              <w:rPr>
                <w:rFonts w:ascii="Times New Roman" w:hAnsi="Times New Roman" w:cs="Times New Roman"/>
                <w:color w:val="auto"/>
                <w:sz w:val="18"/>
                <w:szCs w:val="18"/>
              </w:rPr>
              <w:t>工业锅炉水质》的规定。电站锅炉的水汽质量应当符合</w:t>
            </w:r>
            <w:r>
              <w:rPr>
                <w:rFonts w:ascii="Times New Roman" w:hAnsi="Times New Roman" w:eastAsia="Times New Roman" w:cs="Times New Roman"/>
                <w:color w:val="auto"/>
                <w:sz w:val="18"/>
                <w:szCs w:val="18"/>
                <w:lang w:val="en-US" w:eastAsia="zh-CN" w:bidi="en-US"/>
              </w:rPr>
              <w:t xml:space="preserve">GB/T </w:t>
            </w:r>
            <w:r>
              <w:rPr>
                <w:rFonts w:ascii="Times New Roman" w:hAnsi="Times New Roman" w:eastAsia="Times New Roman" w:cs="Times New Roman"/>
                <w:color w:val="auto"/>
                <w:sz w:val="18"/>
                <w:szCs w:val="18"/>
              </w:rPr>
              <w:t>12145</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火力发电机组及蒸汽动力设备水汽质量》</w:t>
            </w:r>
            <w:r>
              <w:rPr>
                <w:rFonts w:ascii="Times New Roman" w:hAnsi="Times New Roman" w:cs="Times New Roman"/>
                <w:color w:val="auto"/>
                <w:sz w:val="18"/>
                <w:szCs w:val="18"/>
                <w:lang w:eastAsia="zh-CN"/>
              </w:rPr>
              <w:t>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73" w:hRule="exact"/>
        </w:trPr>
        <w:tc>
          <w:tcPr>
            <w:tcW w:w="866" w:type="dxa"/>
            <w:shd w:val="clear" w:color="auto" w:fill="FFFFFF"/>
            <w:noWrap/>
            <w:vAlign w:val="center"/>
          </w:tcPr>
          <w:p>
            <w:pPr>
              <w:snapToGrid w:val="0"/>
              <w:jc w:val="center"/>
              <w:rPr>
                <w:rFonts w:ascii="Times New Roman" w:hAnsi="Times New Roman" w:cs="Times New Roman"/>
                <w:color w:val="auto"/>
                <w:sz w:val="18"/>
                <w:szCs w:val="18"/>
              </w:rPr>
            </w:pPr>
            <w:r>
              <w:rPr>
                <w:rFonts w:ascii="Times New Roman" w:hAnsi="Times New Roman" w:eastAsia="宋体" w:cs="Times New Roman"/>
                <w:color w:val="auto"/>
                <w:sz w:val="18"/>
                <w:szCs w:val="18"/>
                <w:lang w:val="zh-TW" w:eastAsia="zh-TW" w:bidi="zh-TW"/>
              </w:rPr>
              <w:t>定期检验</w:t>
            </w:r>
          </w:p>
        </w:tc>
        <w:tc>
          <w:tcPr>
            <w:tcW w:w="70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有资格</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的检验</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人员</w:t>
            </w:r>
          </w:p>
        </w:tc>
        <w:tc>
          <w:tcPr>
            <w:tcW w:w="8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按“上次检验报告”</w:t>
            </w:r>
          </w:p>
        </w:tc>
        <w:tc>
          <w:tcPr>
            <w:tcW w:w="1418"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87" w:type="dxa"/>
            <w:shd w:val="clear" w:color="auto" w:fill="FFFFFF"/>
            <w:noWrap/>
            <w:vAlign w:val="center"/>
          </w:tcPr>
          <w:p>
            <w:pPr>
              <w:pStyle w:val="10"/>
              <w:snapToGrid w:val="0"/>
              <w:spacing w:line="240" w:lineRule="auto"/>
              <w:jc w:val="center"/>
              <w:rPr>
                <w:rFonts w:ascii="Times New Roman" w:hAnsi="Times New Roman" w:eastAsia="Times New Roman" w:cs="Times New Roman"/>
                <w:color w:val="auto"/>
                <w:sz w:val="18"/>
                <w:szCs w:val="18"/>
                <w:lang w:val="en-US" w:eastAsia="en-US" w:bidi="en-US"/>
              </w:rPr>
            </w:pPr>
            <w:r>
              <w:rPr>
                <w:rFonts w:ascii="Times New Roman" w:hAnsi="Times New Roman" w:eastAsia="Times New Roman" w:cs="Times New Roman"/>
                <w:color w:val="auto"/>
                <w:sz w:val="18"/>
                <w:szCs w:val="18"/>
                <w:lang w:val="en-US" w:eastAsia="en-US" w:bidi="en-US"/>
              </w:rPr>
              <w:t>9.</w:t>
            </w:r>
            <w:r>
              <w:rPr>
                <w:rFonts w:ascii="Times New Roman" w:hAnsi="Times New Roman" w:cs="Times New Roman"/>
                <w:color w:val="auto"/>
                <w:sz w:val="18"/>
                <w:szCs w:val="18"/>
                <w:lang w:val="en-US" w:eastAsia="zh-CN" w:bidi="en-US"/>
              </w:rPr>
              <w:t>1.</w:t>
            </w:r>
            <w:r>
              <w:rPr>
                <w:rFonts w:ascii="Times New Roman" w:hAnsi="Times New Roman" w:eastAsia="Times New Roman" w:cs="Times New Roman"/>
                <w:color w:val="auto"/>
                <w:sz w:val="18"/>
                <w:szCs w:val="18"/>
                <w:lang w:val="en-US" w:eastAsia="en-US" w:bidi="en-US"/>
              </w:rPr>
              <w:t>4</w:t>
            </w:r>
          </w:p>
        </w:tc>
        <w:tc>
          <w:tcPr>
            <w:tcW w:w="9786" w:type="dxa"/>
            <w:shd w:val="clear" w:color="auto" w:fill="FFFFFF"/>
            <w:noWrap/>
            <w:vAlign w:val="center"/>
          </w:tcPr>
          <w:p>
            <w:pPr>
              <w:pStyle w:val="10"/>
              <w:numPr>
                <w:ilvl w:val="0"/>
                <w:numId w:val="9"/>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锅炉的定期检验工作包括锅炉在运行状态下进行的外部检验、锅炉在停炉状态下进行的内部检验和水(耐)压试验；</w:t>
            </w:r>
          </w:p>
          <w:p>
            <w:pPr>
              <w:pStyle w:val="10"/>
              <w:numPr>
                <w:ilvl w:val="0"/>
                <w:numId w:val="9"/>
              </w:numPr>
              <w:tabs>
                <w:tab w:val="left" w:pos="326"/>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锅炉的使用单位应当安排锅炉的定期检验工作,并且在锅炉下次检验日期前</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个月向检验检测机构提出定期检验申请,检验检测机构应当制订检验计划。</w:t>
            </w:r>
          </w:p>
        </w:tc>
      </w:tr>
    </w:tbl>
    <w:p>
      <w:pPr>
        <w:snapToGrid w:val="0"/>
        <w:rPr>
          <w:rFonts w:ascii="Times New Roman" w:hAnsi="Times New Roman" w:cs="Times New Roman"/>
          <w:color w:val="auto"/>
          <w:sz w:val="18"/>
          <w:szCs w:val="18"/>
        </w:rPr>
        <w:sectPr>
          <w:footerReference r:id="rId11" w:type="first"/>
          <w:headerReference r:id="rId8" w:type="default"/>
          <w:headerReference r:id="rId9" w:type="even"/>
          <w:footerReference r:id="rId10" w:type="even"/>
          <w:pgSz w:w="16840" w:h="11900" w:orient="landscape"/>
          <w:pgMar w:top="851" w:right="1134" w:bottom="1134" w:left="1134" w:header="851" w:footer="851" w:gutter="0"/>
          <w:pgNumType w:fmt="numberInDash"/>
          <w:cols w:space="720" w:num="1"/>
          <w:docGrid w:linePitch="360" w:charSpace="0"/>
        </w:sectPr>
      </w:pPr>
    </w:p>
    <w:p>
      <w:pPr>
        <w:pStyle w:val="9"/>
        <w:snapToGrid w:val="0"/>
        <w:spacing w:beforeLines="50" w:afterLines="50" w:line="240" w:lineRule="auto"/>
        <w:jc w:val="center"/>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rPr>
        <w:t>附表1  锅炉经常性维护保养记录表格式</w:t>
      </w:r>
    </w:p>
    <w:tbl>
      <w:tblPr>
        <w:tblStyle w:val="8"/>
        <w:tblW w:w="956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595"/>
        <w:gridCol w:w="538"/>
        <w:gridCol w:w="4636"/>
        <w:gridCol w:w="993"/>
        <w:gridCol w:w="17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54" w:hRule="exact"/>
          <w:jc w:val="center"/>
        </w:trPr>
        <w:tc>
          <w:tcPr>
            <w:tcW w:w="2133" w:type="dxa"/>
            <w:gridSpan w:val="2"/>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使用编号</w:t>
            </w:r>
          </w:p>
        </w:tc>
        <w:tc>
          <w:tcPr>
            <w:tcW w:w="7428" w:type="dxa"/>
            <w:gridSpan w:val="3"/>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54" w:hRule="exact"/>
          <w:jc w:val="center"/>
        </w:trPr>
        <w:tc>
          <w:tcPr>
            <w:tcW w:w="2133" w:type="dxa"/>
            <w:gridSpan w:val="2"/>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登记编号</w:t>
            </w:r>
          </w:p>
        </w:tc>
        <w:tc>
          <w:tcPr>
            <w:tcW w:w="7428" w:type="dxa"/>
            <w:gridSpan w:val="3"/>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54" w:hRule="exact"/>
          <w:jc w:val="center"/>
        </w:trPr>
        <w:tc>
          <w:tcPr>
            <w:tcW w:w="2133" w:type="dxa"/>
            <w:gridSpan w:val="2"/>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检查项目</w:t>
            </w:r>
          </w:p>
        </w:tc>
        <w:tc>
          <w:tcPr>
            <w:tcW w:w="4636"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检查内容</w:t>
            </w:r>
          </w:p>
        </w:tc>
        <w:tc>
          <w:tcPr>
            <w:tcW w:w="993"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检查结果</w:t>
            </w:r>
          </w:p>
        </w:tc>
        <w:tc>
          <w:tcPr>
            <w:tcW w:w="1799"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问题记录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50" w:hRule="exact"/>
          <w:jc w:val="center"/>
        </w:trPr>
        <w:tc>
          <w:tcPr>
            <w:tcW w:w="159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锅炉</w:t>
            </w:r>
          </w:p>
        </w:tc>
        <w:tc>
          <w:tcPr>
            <w:tcW w:w="5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636"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是否进行巡回检查和日常维护保养，发现异常情况时是否及时处理</w:t>
            </w:r>
            <w:r>
              <w:rPr>
                <w:rFonts w:ascii="Times New Roman" w:hAnsi="Times New Roman" w:cs="Times New Roman"/>
                <w:color w:val="auto"/>
                <w:sz w:val="18"/>
                <w:szCs w:val="18"/>
                <w:lang w:eastAsia="zh-CN"/>
              </w:rPr>
              <w:t>。</w:t>
            </w:r>
          </w:p>
        </w:tc>
        <w:tc>
          <w:tcPr>
            <w:tcW w:w="993" w:type="dxa"/>
            <w:shd w:val="clear" w:color="auto" w:fill="FFFFFF"/>
            <w:noWrap/>
            <w:vAlign w:val="top"/>
          </w:tcPr>
          <w:p>
            <w:pPr>
              <w:snapToGrid w:val="0"/>
              <w:rPr>
                <w:rFonts w:ascii="Times New Roman" w:hAnsi="Times New Roman" w:cs="Times New Roman"/>
                <w:color w:val="auto"/>
                <w:sz w:val="18"/>
                <w:szCs w:val="18"/>
              </w:rPr>
            </w:pPr>
          </w:p>
        </w:tc>
        <w:tc>
          <w:tcPr>
            <w:tcW w:w="1799"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281" w:hRule="exact"/>
          <w:jc w:val="center"/>
        </w:trPr>
        <w:tc>
          <w:tcPr>
            <w:tcW w:w="159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月度检查</w:t>
            </w:r>
          </w:p>
        </w:tc>
        <w:tc>
          <w:tcPr>
            <w:tcW w:w="5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en-US" w:bidi="en-US"/>
              </w:rPr>
            </w:pPr>
            <w:r>
              <w:rPr>
                <w:rFonts w:cs="Times New Roman"/>
                <w:color w:val="auto"/>
                <w:sz w:val="18"/>
                <w:szCs w:val="18"/>
                <w:lang w:val="en-US" w:eastAsia="en-US" w:bidi="en-US"/>
              </w:rPr>
              <w:t>★</w:t>
            </w:r>
          </w:p>
        </w:tc>
        <w:tc>
          <w:tcPr>
            <w:tcW w:w="4636"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锅炉承压部件及其安全附件和仪表、连锁保护装置是否完好；燃烧器运行是否正常；锅炉使用安全与节能管理制度是否有效执行，作业人员证书是否在有效期内，是否按规定进行定期检验，是否对水(介)质定期进行化验分析，水(介)质未达到标准要求时是否及时处理，水封管是否堵塞等。</w:t>
            </w:r>
          </w:p>
        </w:tc>
        <w:tc>
          <w:tcPr>
            <w:tcW w:w="993" w:type="dxa"/>
            <w:shd w:val="clear" w:color="auto" w:fill="FFFFFF"/>
            <w:noWrap/>
            <w:vAlign w:val="top"/>
          </w:tcPr>
          <w:p>
            <w:pPr>
              <w:snapToGrid w:val="0"/>
              <w:rPr>
                <w:rFonts w:ascii="Times New Roman" w:hAnsi="Times New Roman" w:cs="Times New Roman"/>
                <w:color w:val="auto"/>
                <w:sz w:val="18"/>
                <w:szCs w:val="18"/>
              </w:rPr>
            </w:pPr>
          </w:p>
        </w:tc>
        <w:tc>
          <w:tcPr>
            <w:tcW w:w="1799"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12" w:hRule="atLeast"/>
          <w:jc w:val="center"/>
        </w:trPr>
        <w:tc>
          <w:tcPr>
            <w:tcW w:w="159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燃烧器年度检查</w:t>
            </w:r>
          </w:p>
        </w:tc>
        <w:tc>
          <w:tcPr>
            <w:tcW w:w="5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en-US" w:bidi="en-US"/>
              </w:rPr>
            </w:pPr>
            <w:r>
              <w:rPr>
                <w:rFonts w:cs="Times New Roman"/>
                <w:color w:val="auto"/>
                <w:sz w:val="18"/>
                <w:szCs w:val="18"/>
                <w:lang w:val="en-US" w:eastAsia="en-US" w:bidi="en-US"/>
              </w:rPr>
              <w:t>★</w:t>
            </w:r>
          </w:p>
        </w:tc>
        <w:tc>
          <w:tcPr>
            <w:tcW w:w="4636"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燃烧器管路是否密封、安全与控制装置是否齐全和完好、安全与控制功能是否缺失或者失效、燃烧器运行是否正常。</w:t>
            </w:r>
          </w:p>
        </w:tc>
        <w:tc>
          <w:tcPr>
            <w:tcW w:w="993" w:type="dxa"/>
            <w:shd w:val="clear" w:color="auto" w:fill="FFFFFF"/>
            <w:noWrap/>
            <w:vAlign w:val="top"/>
          </w:tcPr>
          <w:p>
            <w:pPr>
              <w:snapToGrid w:val="0"/>
              <w:rPr>
                <w:rFonts w:ascii="Times New Roman" w:hAnsi="Times New Roman" w:cs="Times New Roman"/>
                <w:color w:val="auto"/>
                <w:sz w:val="18"/>
                <w:szCs w:val="18"/>
              </w:rPr>
            </w:pPr>
          </w:p>
        </w:tc>
        <w:tc>
          <w:tcPr>
            <w:tcW w:w="1799"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252" w:hRule="exact"/>
          <w:jc w:val="center"/>
        </w:trPr>
        <w:tc>
          <w:tcPr>
            <w:tcW w:w="159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锅炉安全附件</w:t>
            </w:r>
          </w:p>
        </w:tc>
        <w:tc>
          <w:tcPr>
            <w:tcW w:w="5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63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安全阀、压力表、温度测量仪表是否定期校验，并在有效期内。</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安全阀、压力表、水位表、温度测量仪表是否完好,指示是否正确。安全阀是否定期试验。水位表、压力表是否冲洗。排污和放水装置是否完好</w:t>
            </w:r>
            <w:r>
              <w:rPr>
                <w:rFonts w:ascii="Times New Roman" w:hAnsi="Times New Roman" w:cs="Times New Roman"/>
                <w:color w:val="auto"/>
                <w:sz w:val="18"/>
                <w:szCs w:val="18"/>
                <w:lang w:eastAsia="zh-CN"/>
              </w:rPr>
              <w:t>。</w:t>
            </w:r>
          </w:p>
        </w:tc>
        <w:tc>
          <w:tcPr>
            <w:tcW w:w="993" w:type="dxa"/>
            <w:shd w:val="clear" w:color="auto" w:fill="FFFFFF"/>
            <w:noWrap/>
            <w:vAlign w:val="top"/>
          </w:tcPr>
          <w:p>
            <w:pPr>
              <w:snapToGrid w:val="0"/>
              <w:rPr>
                <w:rFonts w:ascii="Times New Roman" w:hAnsi="Times New Roman" w:cs="Times New Roman"/>
                <w:color w:val="auto"/>
                <w:sz w:val="18"/>
                <w:szCs w:val="18"/>
              </w:rPr>
            </w:pPr>
          </w:p>
        </w:tc>
        <w:tc>
          <w:tcPr>
            <w:tcW w:w="1799"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54" w:hRule="exact"/>
          <w:jc w:val="center"/>
        </w:trPr>
        <w:tc>
          <w:tcPr>
            <w:tcW w:w="159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安全保护装置</w:t>
            </w:r>
          </w:p>
        </w:tc>
        <w:tc>
          <w:tcPr>
            <w:tcW w:w="5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636"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安全保护装置是否投入运行，是否完好,是否定期试验</w:t>
            </w:r>
            <w:r>
              <w:rPr>
                <w:rFonts w:ascii="Times New Roman" w:hAnsi="Times New Roman" w:cs="Times New Roman"/>
                <w:color w:val="auto"/>
                <w:sz w:val="18"/>
                <w:szCs w:val="18"/>
                <w:lang w:eastAsia="zh-CN"/>
              </w:rPr>
              <w:t>。</w:t>
            </w:r>
          </w:p>
        </w:tc>
        <w:tc>
          <w:tcPr>
            <w:tcW w:w="993" w:type="dxa"/>
            <w:shd w:val="clear" w:color="auto" w:fill="FFFFFF"/>
            <w:noWrap/>
            <w:vAlign w:val="top"/>
          </w:tcPr>
          <w:p>
            <w:pPr>
              <w:snapToGrid w:val="0"/>
              <w:rPr>
                <w:rFonts w:ascii="Times New Roman" w:hAnsi="Times New Roman" w:cs="Times New Roman"/>
                <w:color w:val="auto"/>
                <w:sz w:val="18"/>
                <w:szCs w:val="18"/>
              </w:rPr>
            </w:pPr>
          </w:p>
        </w:tc>
        <w:tc>
          <w:tcPr>
            <w:tcW w:w="1799"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339" w:hRule="exact"/>
          <w:jc w:val="center"/>
        </w:trPr>
        <w:tc>
          <w:tcPr>
            <w:tcW w:w="159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蒸汽锅炉(电站锅炉除外)运行中遇有下列情况之一时，应当立即停炉</w:t>
            </w:r>
          </w:p>
        </w:tc>
        <w:tc>
          <w:tcPr>
            <w:tcW w:w="5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636" w:type="dxa"/>
            <w:shd w:val="clear" w:color="auto" w:fill="FFFFFF"/>
            <w:noWrap/>
            <w:vAlign w:val="center"/>
          </w:tcPr>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)锅炉水位低于水位表最低可见边缘；</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)不断加大给水及采取其他措施但是水位仍然继续下降；</w:t>
            </w:r>
          </w:p>
          <w:p>
            <w:pPr>
              <w:pStyle w:val="10"/>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)锅炉满水</w:t>
            </w:r>
            <w:r>
              <w:rPr>
                <w:rFonts w:ascii="Times New Roman" w:hAnsi="Times New Roman" w:cs="Times New Roman"/>
                <w:color w:val="auto"/>
                <w:sz w:val="18"/>
                <w:szCs w:val="18"/>
                <w:lang w:eastAsia="zh-CN"/>
              </w:rPr>
              <w:t>(贯流式锅炉启动状态除外)</w:t>
            </w:r>
            <w:r>
              <w:rPr>
                <w:rFonts w:ascii="Times New Roman" w:hAnsi="Times New Roman" w:cs="Times New Roman"/>
                <w:color w:val="auto"/>
                <w:sz w:val="18"/>
                <w:szCs w:val="18"/>
              </w:rPr>
              <w:t>，水位超过最高可见水位，经过放水仍然不能见到水位；</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hAnsi="Times New Roman" w:cs="Times New Roman"/>
                <w:color w:val="auto"/>
                <w:sz w:val="18"/>
                <w:szCs w:val="18"/>
              </w:rPr>
              <w:t>)给水泵失效或者给水系统故障，不能向锅炉给水；</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5</w:t>
            </w:r>
            <w:r>
              <w:rPr>
                <w:rFonts w:ascii="Times New Roman" w:hAnsi="Times New Roman" w:cs="Times New Roman"/>
                <w:color w:val="auto"/>
                <w:sz w:val="18"/>
                <w:szCs w:val="18"/>
              </w:rPr>
              <w:t>)水位表、安全阀或者装设在汽空间的压力表全部失效；</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6</w:t>
            </w:r>
            <w:r>
              <w:rPr>
                <w:rFonts w:ascii="Times New Roman" w:hAnsi="Times New Roman" w:cs="Times New Roman"/>
                <w:color w:val="auto"/>
                <w:sz w:val="18"/>
                <w:szCs w:val="18"/>
              </w:rPr>
              <w:t>)锅炉元(部)件受损坏，危及锅炉运行</w:t>
            </w:r>
            <w:r>
              <w:rPr>
                <w:rFonts w:ascii="Times New Roman" w:hAnsi="Times New Roman" w:cs="Times New Roman"/>
                <w:color w:val="auto"/>
                <w:sz w:val="18"/>
                <w:szCs w:val="18"/>
                <w:lang w:eastAsia="zh-CN"/>
              </w:rPr>
              <w:t>作业</w:t>
            </w:r>
            <w:r>
              <w:rPr>
                <w:rFonts w:ascii="Times New Roman" w:hAnsi="Times New Roman" w:cs="Times New Roman"/>
                <w:color w:val="auto"/>
                <w:sz w:val="18"/>
                <w:szCs w:val="18"/>
              </w:rPr>
              <w:t>人员安全；</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7</w:t>
            </w:r>
            <w:r>
              <w:rPr>
                <w:rFonts w:ascii="Times New Roman" w:hAnsi="Times New Roman" w:cs="Times New Roman"/>
                <w:color w:val="auto"/>
                <w:sz w:val="18"/>
                <w:szCs w:val="18"/>
              </w:rPr>
              <w:t>)燃烧设备损坏、炉墙倒塌或者锅炉构架被烧红等，严重威胁锅炉安全运行；</w:t>
            </w:r>
          </w:p>
          <w:p>
            <w:pPr>
              <w:pStyle w:val="10"/>
              <w:tabs>
                <w:tab w:val="left" w:pos="317"/>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8</w:t>
            </w:r>
            <w:r>
              <w:rPr>
                <w:rFonts w:ascii="Times New Roman" w:hAnsi="Times New Roman" w:cs="Times New Roman"/>
                <w:color w:val="auto"/>
                <w:sz w:val="18"/>
                <w:szCs w:val="18"/>
              </w:rPr>
              <w:t>)其他危及锅炉安全运行的异常情况</w:t>
            </w:r>
            <w:r>
              <w:rPr>
                <w:rFonts w:ascii="Times New Roman" w:hAnsi="Times New Roman" w:cs="Times New Roman"/>
                <w:color w:val="auto"/>
                <w:sz w:val="18"/>
                <w:szCs w:val="18"/>
                <w:lang w:eastAsia="zh-CN"/>
              </w:rPr>
              <w:t>。</w:t>
            </w:r>
          </w:p>
        </w:tc>
        <w:tc>
          <w:tcPr>
            <w:tcW w:w="993" w:type="dxa"/>
            <w:shd w:val="clear" w:color="auto" w:fill="FFFFFF"/>
            <w:noWrap/>
            <w:vAlign w:val="top"/>
          </w:tcPr>
          <w:p>
            <w:pPr>
              <w:snapToGrid w:val="0"/>
              <w:rPr>
                <w:rFonts w:ascii="Times New Roman" w:hAnsi="Times New Roman" w:cs="Times New Roman"/>
                <w:color w:val="auto"/>
                <w:sz w:val="18"/>
                <w:szCs w:val="18"/>
              </w:rPr>
            </w:pPr>
          </w:p>
        </w:tc>
        <w:tc>
          <w:tcPr>
            <w:tcW w:w="1799"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368" w:hRule="exact"/>
          <w:jc w:val="center"/>
        </w:trPr>
        <w:tc>
          <w:tcPr>
            <w:tcW w:w="159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电站锅炉运行中遇到下列情况时，应当停止向炉膛</w:t>
            </w:r>
            <w:r>
              <w:rPr>
                <w:rFonts w:ascii="Times New Roman" w:hAnsi="Times New Roman" w:cs="Times New Roman"/>
                <w:color w:val="auto"/>
                <w:sz w:val="18"/>
                <w:szCs w:val="18"/>
                <w:lang w:eastAsia="zh-CN"/>
              </w:rPr>
              <w:t>输送</w:t>
            </w:r>
            <w:r>
              <w:rPr>
                <w:rFonts w:ascii="Times New Roman" w:hAnsi="Times New Roman" w:cs="Times New Roman"/>
                <w:color w:val="auto"/>
                <w:sz w:val="18"/>
                <w:szCs w:val="18"/>
              </w:rPr>
              <w:t>燃料</w:t>
            </w:r>
          </w:p>
          <w:p>
            <w:pPr>
              <w:pStyle w:val="10"/>
              <w:snapToGrid w:val="0"/>
              <w:spacing w:line="240" w:lineRule="auto"/>
              <w:jc w:val="center"/>
              <w:rPr>
                <w:rFonts w:ascii="Times New Roman" w:hAnsi="Times New Roman" w:cs="Times New Roman"/>
                <w:color w:val="auto"/>
                <w:sz w:val="18"/>
                <w:szCs w:val="18"/>
                <w:lang w:eastAsia="zh-CN"/>
              </w:rPr>
            </w:pPr>
          </w:p>
        </w:tc>
        <w:tc>
          <w:tcPr>
            <w:tcW w:w="5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636" w:type="dxa"/>
            <w:shd w:val="clear" w:color="auto" w:fill="FFFFFF"/>
            <w:noWrap/>
            <w:vAlign w:val="center"/>
          </w:tcPr>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)锅炉严重缺水；</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)锅炉严重满水；</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)直流锅炉断水；</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hAnsi="Times New Roman" w:cs="Times New Roman"/>
                <w:color w:val="auto"/>
                <w:sz w:val="18"/>
                <w:szCs w:val="18"/>
              </w:rPr>
              <w:t>)锅水循环泵发生故障，不能保证锅炉安全运行；</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5</w:t>
            </w:r>
            <w:r>
              <w:rPr>
                <w:rFonts w:ascii="Times New Roman" w:hAnsi="Times New Roman" w:cs="Times New Roman"/>
                <w:color w:val="auto"/>
                <w:sz w:val="18"/>
                <w:szCs w:val="18"/>
              </w:rPr>
              <w:t>)水位装置失效无法监视水位；</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6</w:t>
            </w:r>
            <w:r>
              <w:rPr>
                <w:rFonts w:ascii="Times New Roman" w:hAnsi="Times New Roman" w:cs="Times New Roman"/>
                <w:color w:val="auto"/>
                <w:sz w:val="18"/>
                <w:szCs w:val="18"/>
              </w:rPr>
              <w:t>)主</w:t>
            </w:r>
            <w:r>
              <w:rPr>
                <w:rFonts w:ascii="Times New Roman" w:hAnsi="Times New Roman" w:cs="Times New Roman"/>
                <w:color w:val="auto"/>
                <w:sz w:val="18"/>
                <w:szCs w:val="18"/>
                <w:lang w:eastAsia="zh-CN"/>
              </w:rPr>
              <w:t>要汽水管道泄露或</w:t>
            </w:r>
            <w:r>
              <w:rPr>
                <w:rFonts w:ascii="Times New Roman" w:hAnsi="Times New Roman" w:cs="Times New Roman"/>
                <w:color w:val="auto"/>
                <w:sz w:val="18"/>
                <w:szCs w:val="18"/>
              </w:rPr>
              <w:t>锅炉范围内连接管道爆破；</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7</w:t>
            </w:r>
            <w:r>
              <w:rPr>
                <w:rFonts w:ascii="Times New Roman" w:hAnsi="Times New Roman" w:cs="Times New Roman"/>
                <w:color w:val="auto"/>
                <w:sz w:val="18"/>
                <w:szCs w:val="18"/>
              </w:rPr>
              <w:t>)再热器蒸汽中断(制造单位有规定者除外)；</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8</w:t>
            </w:r>
            <w:r>
              <w:rPr>
                <w:rFonts w:ascii="Times New Roman" w:hAnsi="Times New Roman" w:cs="Times New Roman"/>
                <w:color w:val="auto"/>
                <w:sz w:val="18"/>
                <w:szCs w:val="18"/>
              </w:rPr>
              <w:t>)炉膛熄</w:t>
            </w:r>
            <w:r>
              <w:rPr>
                <w:rFonts w:ascii="Times New Roman" w:hAnsi="Times New Roman" w:cs="Times New Roman"/>
                <w:color w:val="auto"/>
                <w:sz w:val="18"/>
                <w:szCs w:val="18"/>
                <w:lang w:eastAsia="zh-CN"/>
              </w:rPr>
              <w:t>火</w:t>
            </w:r>
            <w:r>
              <w:rPr>
                <w:rFonts w:ascii="Times New Roman" w:hAnsi="Times New Roman" w:cs="Times New Roman"/>
                <w:color w:val="auto"/>
                <w:sz w:val="18"/>
                <w:szCs w:val="18"/>
              </w:rPr>
              <w:t>；</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9</w:t>
            </w:r>
            <w:r>
              <w:rPr>
                <w:rFonts w:ascii="Times New Roman" w:hAnsi="Times New Roman" w:cs="Times New Roman"/>
                <w:color w:val="auto"/>
                <w:sz w:val="18"/>
                <w:szCs w:val="18"/>
              </w:rPr>
              <w:t>)燃油(气)锅炉油(气)压力严重下降；</w:t>
            </w:r>
          </w:p>
          <w:p>
            <w:pPr>
              <w:pStyle w:val="10"/>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10</w:t>
            </w:r>
            <w:r>
              <w:rPr>
                <w:rFonts w:ascii="Times New Roman" w:hAnsi="Times New Roman" w:cs="Times New Roman"/>
                <w:color w:val="auto"/>
                <w:sz w:val="18"/>
                <w:szCs w:val="18"/>
              </w:rPr>
              <w:t>)安全阀全部失效或者锅炉超压；</w:t>
            </w:r>
          </w:p>
          <w:p>
            <w:pPr>
              <w:pStyle w:val="10"/>
              <w:tabs>
                <w:tab w:val="left" w:pos="4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11</w:t>
            </w:r>
            <w:r>
              <w:rPr>
                <w:rFonts w:ascii="Times New Roman" w:hAnsi="Times New Roman" w:cs="Times New Roman"/>
                <w:color w:val="auto"/>
                <w:sz w:val="18"/>
                <w:szCs w:val="18"/>
              </w:rPr>
              <w:t>)热工仪表失效、控制电(气)源中断，无法监视、调整主要运行参数；</w:t>
            </w:r>
          </w:p>
          <w:p>
            <w:pPr>
              <w:pStyle w:val="10"/>
              <w:tabs>
                <w:tab w:val="left" w:pos="418"/>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12</w:t>
            </w:r>
            <w:r>
              <w:rPr>
                <w:rFonts w:ascii="Times New Roman" w:hAnsi="Times New Roman" w:cs="Times New Roman"/>
                <w:color w:val="auto"/>
                <w:sz w:val="18"/>
                <w:szCs w:val="18"/>
              </w:rPr>
              <w:t>)严重危及人身和设备安全以及制造单位有特殊规定的其他情况</w:t>
            </w:r>
            <w:r>
              <w:rPr>
                <w:rFonts w:ascii="Times New Roman" w:hAnsi="Times New Roman" w:cs="Times New Roman"/>
                <w:color w:val="auto"/>
                <w:sz w:val="18"/>
                <w:szCs w:val="18"/>
                <w:lang w:eastAsia="zh-CN"/>
              </w:rPr>
              <w:t>。</w:t>
            </w:r>
          </w:p>
        </w:tc>
        <w:tc>
          <w:tcPr>
            <w:tcW w:w="993" w:type="dxa"/>
            <w:shd w:val="clear" w:color="auto" w:fill="FFFFFF"/>
            <w:noWrap/>
            <w:vAlign w:val="top"/>
          </w:tcPr>
          <w:p>
            <w:pPr>
              <w:snapToGrid w:val="0"/>
              <w:rPr>
                <w:rFonts w:ascii="Times New Roman" w:hAnsi="Times New Roman" w:cs="Times New Roman"/>
                <w:color w:val="auto"/>
                <w:sz w:val="18"/>
                <w:szCs w:val="18"/>
              </w:rPr>
            </w:pPr>
          </w:p>
        </w:tc>
        <w:tc>
          <w:tcPr>
            <w:tcW w:w="1799"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59" w:hRule="exact"/>
          <w:jc w:val="center"/>
        </w:trPr>
        <w:tc>
          <w:tcPr>
            <w:tcW w:w="159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停(备)用锅炉及水处理设备</w:t>
            </w:r>
            <w:r>
              <w:rPr>
                <w:rFonts w:ascii="Times New Roman" w:hAnsi="Times New Roman" w:cs="Times New Roman"/>
                <w:color w:val="auto"/>
                <w:sz w:val="18"/>
                <w:szCs w:val="18"/>
                <w:lang w:eastAsia="zh-CN"/>
              </w:rPr>
              <w:t>停炉保养</w:t>
            </w:r>
          </w:p>
        </w:tc>
        <w:tc>
          <w:tcPr>
            <w:tcW w:w="5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cs="Times New Roman"/>
                <w:color w:val="auto"/>
                <w:sz w:val="18"/>
                <w:szCs w:val="18"/>
                <w:lang w:val="en-US" w:eastAsia="en-US" w:bidi="en-US"/>
              </w:rPr>
              <w:t>★</w:t>
            </w:r>
          </w:p>
        </w:tc>
        <w:tc>
          <w:tcPr>
            <w:tcW w:w="4636"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是否做好停(备)用锅炉</w:t>
            </w:r>
            <w:r>
              <w:rPr>
                <w:rFonts w:ascii="Times New Roman" w:hAnsi="Times New Roman" w:cs="Times New Roman"/>
                <w:color w:val="auto"/>
                <w:sz w:val="18"/>
                <w:szCs w:val="18"/>
                <w:lang w:eastAsia="zh-CN"/>
              </w:rPr>
              <w:t>及水处理设备的</w:t>
            </w:r>
            <w:r>
              <w:rPr>
                <w:rFonts w:ascii="Times New Roman" w:hAnsi="Times New Roman" w:cs="Times New Roman"/>
                <w:color w:val="auto"/>
                <w:sz w:val="18"/>
                <w:szCs w:val="18"/>
              </w:rPr>
              <w:t>防</w:t>
            </w:r>
            <w:r>
              <w:rPr>
                <w:rFonts w:ascii="Times New Roman" w:hAnsi="Times New Roman" w:cs="Times New Roman"/>
                <w:color w:val="auto"/>
                <w:sz w:val="18"/>
                <w:szCs w:val="18"/>
                <w:lang w:eastAsia="zh-CN"/>
              </w:rPr>
              <w:t>腐蚀</w:t>
            </w:r>
            <w:r>
              <w:rPr>
                <w:rFonts w:ascii="Times New Roman" w:hAnsi="Times New Roman" w:cs="Times New Roman"/>
                <w:color w:val="auto"/>
                <w:sz w:val="18"/>
                <w:szCs w:val="18"/>
              </w:rPr>
              <w:t>等停炉保养工作</w:t>
            </w:r>
            <w:r>
              <w:rPr>
                <w:rFonts w:ascii="Times New Roman" w:hAnsi="Times New Roman" w:cs="Times New Roman"/>
                <w:color w:val="auto"/>
                <w:sz w:val="18"/>
                <w:szCs w:val="18"/>
                <w:lang w:eastAsia="zh-CN"/>
              </w:rPr>
              <w:t>。</w:t>
            </w:r>
          </w:p>
        </w:tc>
        <w:tc>
          <w:tcPr>
            <w:tcW w:w="993" w:type="dxa"/>
            <w:shd w:val="clear" w:color="auto" w:fill="FFFFFF"/>
            <w:noWrap/>
            <w:vAlign w:val="top"/>
          </w:tcPr>
          <w:p>
            <w:pPr>
              <w:snapToGrid w:val="0"/>
              <w:rPr>
                <w:rFonts w:ascii="Times New Roman" w:hAnsi="Times New Roman" w:cs="Times New Roman"/>
                <w:color w:val="auto"/>
                <w:sz w:val="18"/>
                <w:szCs w:val="18"/>
              </w:rPr>
            </w:pPr>
          </w:p>
        </w:tc>
        <w:tc>
          <w:tcPr>
            <w:tcW w:w="1799"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159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其他异常情况及采取措施</w:t>
            </w:r>
          </w:p>
        </w:tc>
        <w:tc>
          <w:tcPr>
            <w:tcW w:w="538" w:type="dxa"/>
            <w:shd w:val="clear" w:color="auto" w:fill="FFFFFF"/>
            <w:noWrap/>
            <w:vAlign w:val="center"/>
          </w:tcPr>
          <w:p>
            <w:pPr>
              <w:snapToGrid w:val="0"/>
              <w:jc w:val="center"/>
              <w:rPr>
                <w:rFonts w:ascii="Times New Roman" w:hAnsi="Times New Roman" w:cs="Times New Roman"/>
                <w:color w:val="auto"/>
                <w:sz w:val="18"/>
                <w:szCs w:val="18"/>
              </w:rPr>
            </w:pPr>
          </w:p>
        </w:tc>
        <w:tc>
          <w:tcPr>
            <w:tcW w:w="4636" w:type="dxa"/>
            <w:shd w:val="clear" w:color="auto" w:fill="FFFFFF"/>
            <w:noWrap/>
            <w:vAlign w:val="center"/>
          </w:tcPr>
          <w:p>
            <w:pPr>
              <w:snapToGrid w:val="0"/>
              <w:rPr>
                <w:rFonts w:ascii="Times New Roman" w:hAnsi="Times New Roman" w:cs="Times New Roman"/>
                <w:color w:val="auto"/>
                <w:sz w:val="18"/>
                <w:szCs w:val="18"/>
              </w:rPr>
            </w:pPr>
          </w:p>
        </w:tc>
        <w:tc>
          <w:tcPr>
            <w:tcW w:w="993" w:type="dxa"/>
            <w:shd w:val="clear" w:color="auto" w:fill="FFFFFF"/>
            <w:noWrap/>
            <w:vAlign w:val="top"/>
          </w:tcPr>
          <w:p>
            <w:pPr>
              <w:snapToGrid w:val="0"/>
              <w:rPr>
                <w:rFonts w:ascii="Times New Roman" w:hAnsi="Times New Roman" w:cs="Times New Roman"/>
                <w:color w:val="auto"/>
                <w:sz w:val="18"/>
                <w:szCs w:val="18"/>
              </w:rPr>
            </w:pPr>
          </w:p>
        </w:tc>
        <w:tc>
          <w:tcPr>
            <w:tcW w:w="1799"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1" w:hRule="exact"/>
          <w:jc w:val="center"/>
        </w:trPr>
        <w:tc>
          <w:tcPr>
            <w:tcW w:w="2133" w:type="dxa"/>
            <w:gridSpan w:val="2"/>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检查人员</w:t>
            </w:r>
          </w:p>
        </w:tc>
        <w:tc>
          <w:tcPr>
            <w:tcW w:w="4636" w:type="dxa"/>
            <w:shd w:val="clear" w:color="auto" w:fill="FFFFFF"/>
            <w:noWrap/>
            <w:vAlign w:val="center"/>
          </w:tcPr>
          <w:p>
            <w:pPr>
              <w:snapToGrid w:val="0"/>
              <w:rPr>
                <w:rFonts w:ascii="Times New Roman" w:hAnsi="Times New Roman" w:cs="Times New Roman"/>
                <w:color w:val="auto"/>
                <w:sz w:val="18"/>
                <w:szCs w:val="18"/>
              </w:rPr>
            </w:pPr>
          </w:p>
        </w:tc>
        <w:tc>
          <w:tcPr>
            <w:tcW w:w="2792"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日期：</w:t>
            </w:r>
          </w:p>
        </w:tc>
      </w:tr>
    </w:tbl>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注：</w:t>
      </w:r>
      <w:r>
        <w:rPr>
          <w:rFonts w:ascii="Times New Roman" w:hAnsi="Times New Roman" w:eastAsia="Times New Roman" w:cs="Times New Roman"/>
          <w:color w:val="auto"/>
          <w:sz w:val="18"/>
          <w:szCs w:val="18"/>
          <w:lang w:val="en-US" w:eastAsia="zh-CN" w:bidi="en-US"/>
        </w:rPr>
        <w:t>1.</w:t>
      </w:r>
      <w:r>
        <w:rPr>
          <w:rFonts w:ascii="Times New Roman" w:hAnsi="Times New Roman" w:cs="Times New Roman"/>
          <w:color w:val="auto"/>
          <w:sz w:val="18"/>
          <w:szCs w:val="18"/>
        </w:rPr>
        <w:t>本记录表为建议表格，使用单位可根据本单位实际情况修改。</w:t>
      </w:r>
    </w:p>
    <w:p>
      <w:pPr>
        <w:pStyle w:val="9"/>
        <w:snapToGrid w:val="0"/>
        <w:spacing w:line="240" w:lineRule="auto"/>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zh-CN" w:bidi="en-US"/>
        </w:rPr>
        <w:t xml:space="preserve">2. </w:t>
      </w:r>
      <w:r>
        <w:rPr>
          <w:rFonts w:cs="Times New Roman"/>
          <w:color w:val="auto"/>
          <w:sz w:val="18"/>
          <w:szCs w:val="18"/>
        </w:rPr>
        <w:t>★</w:t>
      </w:r>
      <w:r>
        <w:rPr>
          <w:rFonts w:ascii="Times New Roman" w:hAnsi="Times New Roman" w:cs="Times New Roman"/>
          <w:color w:val="auto"/>
          <w:sz w:val="18"/>
          <w:szCs w:val="18"/>
        </w:rPr>
        <w:t>是《锅炉安全技术规程》</w:t>
      </w:r>
      <w:r>
        <w:rPr>
          <w:rFonts w:ascii="Times New Roman" w:hAnsi="Times New Roman" w:cs="Times New Roman"/>
          <w:color w:val="auto"/>
          <w:sz w:val="18"/>
          <w:szCs w:val="18"/>
          <w:lang w:eastAsia="zh-CN"/>
        </w:rPr>
        <w:t>(TSG11-2020)</w:t>
      </w:r>
      <w:r>
        <w:rPr>
          <w:rFonts w:ascii="Times New Roman" w:hAnsi="Times New Roman" w:cs="Times New Roman"/>
          <w:color w:val="auto"/>
          <w:sz w:val="18"/>
          <w:szCs w:val="18"/>
        </w:rPr>
        <w:t>的要</w:t>
      </w:r>
      <w:r>
        <w:rPr>
          <w:rFonts w:ascii="Times New Roman" w:hAnsi="Times New Roman" w:cs="Times New Roman"/>
          <w:color w:val="auto"/>
          <w:sz w:val="18"/>
          <w:szCs w:val="18"/>
          <w:lang w:eastAsia="zh-CN"/>
        </w:rPr>
        <w:t>求。</w:t>
      </w:r>
    </w:p>
    <w:p>
      <w:pPr>
        <w:snapToGrid w:val="0"/>
        <w:rPr>
          <w:rFonts w:ascii="Times New Roman" w:hAnsi="Times New Roman" w:cs="Times New Roman"/>
          <w:color w:val="auto"/>
          <w:sz w:val="18"/>
          <w:szCs w:val="18"/>
        </w:rPr>
        <w:sectPr>
          <w:pgSz w:w="11900" w:h="16840"/>
          <w:pgMar w:top="1134" w:right="1134" w:bottom="1134" w:left="851" w:header="851" w:footer="851" w:gutter="0"/>
          <w:pgNumType w:fmt="numberInDash"/>
          <w:cols w:space="720" w:num="1"/>
          <w:docGrid w:linePitch="360" w:charSpace="0"/>
        </w:sectPr>
      </w:pPr>
    </w:p>
    <w:p>
      <w:pPr>
        <w:pStyle w:val="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简体" w:hAnsi="方正小标宋简体" w:eastAsia="方正小标宋简体" w:cs="方正小标宋简体"/>
          <w:b w:val="0"/>
          <w:bCs/>
          <w:color w:val="auto"/>
          <w:sz w:val="32"/>
          <w:szCs w:val="32"/>
        </w:rPr>
      </w:pPr>
      <w:r>
        <w:rPr>
          <w:rFonts w:hint="eastAsia" w:ascii="方正小标宋简体" w:hAnsi="方正小标宋简体" w:eastAsia="方正小标宋简体" w:cs="方正小标宋简体"/>
          <w:b w:val="0"/>
          <w:bCs/>
          <w:color w:val="auto"/>
          <w:sz w:val="32"/>
          <w:szCs w:val="32"/>
        </w:rPr>
        <w:t>表B.2特种设备隐患排查清单——固定式压力容器专项要求</w:t>
      </w:r>
    </w:p>
    <w:tbl>
      <w:tblPr>
        <w:tblStyle w:val="8"/>
        <w:tblW w:w="1500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785"/>
        <w:gridCol w:w="709"/>
        <w:gridCol w:w="709"/>
        <w:gridCol w:w="992"/>
        <w:gridCol w:w="851"/>
        <w:gridCol w:w="109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70" w:hRule="exact"/>
          <w:jc w:val="center"/>
        </w:trPr>
        <w:tc>
          <w:tcPr>
            <w:tcW w:w="785" w:type="dxa"/>
            <w:vMerge w:val="restart"/>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排查内容</w:t>
            </w:r>
          </w:p>
        </w:tc>
        <w:tc>
          <w:tcPr>
            <w:tcW w:w="709" w:type="dxa"/>
            <w:vMerge w:val="restart"/>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排查人</w:t>
            </w:r>
          </w:p>
        </w:tc>
        <w:tc>
          <w:tcPr>
            <w:tcW w:w="709" w:type="dxa"/>
            <w:vMerge w:val="restart"/>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rPr>
              <w:t>排查</w:t>
            </w:r>
          </w:p>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时间</w:t>
            </w:r>
          </w:p>
        </w:tc>
        <w:tc>
          <w:tcPr>
            <w:tcW w:w="1843" w:type="dxa"/>
            <w:gridSpan w:val="2"/>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排查依据</w:t>
            </w:r>
          </w:p>
        </w:tc>
        <w:tc>
          <w:tcPr>
            <w:tcW w:w="10962" w:type="dxa"/>
            <w:vMerge w:val="restart"/>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33" w:hRule="exact"/>
          <w:jc w:val="center"/>
        </w:trPr>
        <w:tc>
          <w:tcPr>
            <w:tcW w:w="785" w:type="dxa"/>
            <w:vMerge w:val="continue"/>
            <w:shd w:val="clear" w:color="auto" w:fill="FFFFFF"/>
            <w:noWrap w:val="0"/>
            <w:vAlign w:val="center"/>
          </w:tcPr>
          <w:p>
            <w:pPr>
              <w:snapToGrid w:val="0"/>
              <w:rPr>
                <w:rFonts w:ascii="Times New Roman" w:hAnsi="Times New Roman" w:cs="Times New Roman"/>
                <w:color w:val="auto"/>
                <w:sz w:val="18"/>
                <w:szCs w:val="18"/>
              </w:rPr>
            </w:pPr>
          </w:p>
        </w:tc>
        <w:tc>
          <w:tcPr>
            <w:tcW w:w="709" w:type="dxa"/>
            <w:vMerge w:val="continue"/>
            <w:shd w:val="clear" w:color="auto" w:fill="FFFFFF"/>
            <w:noWrap w:val="0"/>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snapToGrid w:val="0"/>
              <w:rPr>
                <w:rFonts w:ascii="Times New Roman" w:hAnsi="Times New Roman" w:cs="Times New Roman"/>
                <w:color w:val="auto"/>
                <w:sz w:val="18"/>
                <w:szCs w:val="18"/>
              </w:rPr>
            </w:pPr>
          </w:p>
        </w:tc>
        <w:tc>
          <w:tcPr>
            <w:tcW w:w="992" w:type="dxa"/>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法规标准</w:t>
            </w:r>
          </w:p>
        </w:tc>
        <w:tc>
          <w:tcPr>
            <w:tcW w:w="851" w:type="dxa"/>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适用条款</w:t>
            </w:r>
          </w:p>
        </w:tc>
        <w:tc>
          <w:tcPr>
            <w:tcW w:w="10962" w:type="dxa"/>
            <w:vMerge w:val="continue"/>
            <w:shd w:val="clear" w:color="auto" w:fill="FFFFFF"/>
            <w:noWrap w:val="0"/>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001" w:hRule="exact"/>
          <w:jc w:val="center"/>
        </w:trPr>
        <w:tc>
          <w:tcPr>
            <w:tcW w:w="785"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bookmarkStart w:id="15" w:name="_Hlk53690784"/>
            <w:r>
              <w:rPr>
                <w:rFonts w:ascii="Times New Roman" w:hAnsi="Times New Roman" w:cs="Times New Roman"/>
                <w:color w:val="auto"/>
                <w:sz w:val="18"/>
                <w:szCs w:val="18"/>
              </w:rPr>
              <w:t>使用年限审核</w:t>
            </w:r>
            <w:bookmarkEnd w:id="15"/>
          </w:p>
        </w:tc>
        <w:tc>
          <w:tcPr>
            <w:tcW w:w="709"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安全管理员</w:t>
            </w:r>
          </w:p>
        </w:tc>
        <w:tc>
          <w:tcPr>
            <w:tcW w:w="709"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使用单位自定(每年</w:t>
            </w:r>
            <w:r>
              <w:rPr>
                <w:rFonts w:ascii="Times New Roman" w:hAnsi="Times New Roman" w:cs="Times New Roman"/>
                <w:color w:val="auto"/>
                <w:sz w:val="18"/>
                <w:szCs w:val="18"/>
                <w:lang w:eastAsia="zh-CN"/>
              </w:rPr>
              <w:t>一</w:t>
            </w:r>
            <w:r>
              <w:rPr>
                <w:rFonts w:ascii="Times New Roman" w:hAnsi="Times New Roman" w:cs="Times New Roman"/>
                <w:color w:val="auto"/>
                <w:sz w:val="18"/>
                <w:szCs w:val="18"/>
              </w:rPr>
              <w:t>次)</w:t>
            </w:r>
          </w:p>
        </w:tc>
        <w:tc>
          <w:tcPr>
            <w:tcW w:w="992" w:type="dxa"/>
            <w:vMerge w:val="restart"/>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固定式压力容器安全技术监察规程 </w:t>
            </w:r>
            <w:r>
              <w:rPr>
                <w:rFonts w:ascii="Times New Roman" w:hAnsi="Times New Roman" w:cs="Times New Roman"/>
                <w:color w:val="auto"/>
                <w:sz w:val="18"/>
                <w:szCs w:val="18"/>
                <w:lang w:val="en-US" w:eastAsia="zh-CN" w:bidi="en-US"/>
              </w:rPr>
              <w:t>(TSG 21-2016)</w:t>
            </w:r>
          </w:p>
        </w:tc>
        <w:tc>
          <w:tcPr>
            <w:tcW w:w="851"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val="en-US" w:eastAsia="en-US" w:bidi="en-US"/>
              </w:rPr>
              <w:t>7.1.7</w:t>
            </w:r>
          </w:p>
        </w:tc>
        <w:tc>
          <w:tcPr>
            <w:tcW w:w="10962" w:type="dxa"/>
            <w:shd w:val="clear" w:color="auto" w:fill="FFFFFF"/>
            <w:noWrap w:val="0"/>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超设计使用年限使用的压力容器：</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对于已经达到设计使用年限的压力容器，或者未规定设计使用年限，但是使用超过20年的压力容器，如果要继续使用，使用单位应当委托有检验资质的特种设备检验机构参照定期检验的有关规定对其进行检验，必要时按照 </w:t>
            </w:r>
            <w:r>
              <w:rPr>
                <w:rFonts w:ascii="Times New Roman" w:hAnsi="Times New Roman" w:cs="Times New Roman"/>
                <w:color w:val="auto"/>
                <w:sz w:val="18"/>
                <w:szCs w:val="18"/>
                <w:lang w:val="en-US" w:eastAsia="zh-CN" w:bidi="en-US"/>
              </w:rPr>
              <w:t>TSG 21-2016</w:t>
            </w:r>
            <w:r>
              <w:rPr>
                <w:rFonts w:ascii="Times New Roman" w:hAnsi="Times New Roman" w:cs="Times New Roman"/>
                <w:color w:val="auto"/>
                <w:sz w:val="18"/>
                <w:szCs w:val="18"/>
              </w:rPr>
              <w:t>中</w:t>
            </w:r>
            <w:r>
              <w:rPr>
                <w:rFonts w:ascii="Times New Roman" w:hAnsi="Times New Roman" w:cs="Times New Roman"/>
                <w:color w:val="auto"/>
                <w:sz w:val="18"/>
                <w:szCs w:val="18"/>
                <w:lang w:val="en-US" w:eastAsia="zh-CN" w:bidi="en-US"/>
              </w:rPr>
              <w:t>8.9</w:t>
            </w:r>
            <w:r>
              <w:rPr>
                <w:rFonts w:ascii="Times New Roman" w:hAnsi="Times New Roman" w:cs="Times New Roman"/>
                <w:color w:val="auto"/>
                <w:sz w:val="18"/>
                <w:szCs w:val="18"/>
              </w:rPr>
              <w:t>的要求进行安全评估</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合于使用评价</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，经过使用单位主要负责人批准后，办理使用登记证书变更，方可继续使用。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433" w:hRule="exact"/>
          <w:jc w:val="center"/>
        </w:trPr>
        <w:tc>
          <w:tcPr>
            <w:tcW w:w="785"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经常性维护保养</w:t>
            </w:r>
          </w:p>
        </w:tc>
        <w:tc>
          <w:tcPr>
            <w:tcW w:w="709" w:type="dxa"/>
            <w:vMerge w:val="restart"/>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容器作业人员</w:t>
            </w:r>
          </w:p>
        </w:tc>
        <w:tc>
          <w:tcPr>
            <w:tcW w:w="709"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使用单位自定</w:t>
            </w:r>
          </w:p>
        </w:tc>
        <w:tc>
          <w:tcPr>
            <w:tcW w:w="992"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7.1.4</w:t>
            </w:r>
          </w:p>
        </w:tc>
        <w:tc>
          <w:tcPr>
            <w:tcW w:w="10962" w:type="dxa"/>
            <w:shd w:val="clear" w:color="auto" w:fill="FFFFFF"/>
            <w:noWrap w:val="0"/>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使用单位应当建立压力容器装置巡检制度</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并且对压力容器本体及其安全附件、装卸附件、安全保护装置、测量调控装置、附属仪器仪表进行经常性维护保养。对发现的异常情况及时处理并且记录，保证在用压力容器始终处于正常使用状态。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709" w:hRule="exact"/>
          <w:jc w:val="center"/>
        </w:trPr>
        <w:tc>
          <w:tcPr>
            <w:tcW w:w="785"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月度检查</w:t>
            </w: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9"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每月</w:t>
            </w:r>
          </w:p>
        </w:tc>
        <w:tc>
          <w:tcPr>
            <w:tcW w:w="992"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7.1.5.1</w:t>
            </w:r>
          </w:p>
        </w:tc>
        <w:tc>
          <w:tcPr>
            <w:tcW w:w="10962" w:type="dxa"/>
            <w:shd w:val="clear" w:color="auto" w:fill="FFFFFF"/>
            <w:noWrap w:val="0"/>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使用单位每月对所使用的压力容器至少进行</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次月度检查，并且应当记录检查情况；当年度检查与月度检查时间重合时，可不再进行月度检查。月度检查内容主要为压力容器本体及其安全附件、装卸附件、安全保护装置、测量调控装置、附属仪器仪表是否完好，各密封面有无泄漏，以及其他异常情况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691" w:hRule="exact"/>
          <w:jc w:val="center"/>
        </w:trPr>
        <w:tc>
          <w:tcPr>
            <w:tcW w:w="785" w:type="dxa"/>
            <w:vMerge w:val="restart"/>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年度检查</w:t>
            </w:r>
          </w:p>
        </w:tc>
        <w:tc>
          <w:tcPr>
            <w:tcW w:w="709" w:type="dxa"/>
            <w:vMerge w:val="restart"/>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容器作业人员或有资格的检验人员</w:t>
            </w:r>
          </w:p>
        </w:tc>
        <w:tc>
          <w:tcPr>
            <w:tcW w:w="709" w:type="dxa"/>
            <w:vMerge w:val="restart"/>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每年</w:t>
            </w:r>
          </w:p>
        </w:tc>
        <w:tc>
          <w:tcPr>
            <w:tcW w:w="992"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7.1</w:t>
            </w:r>
            <w:r>
              <w:rPr>
                <w:rFonts w:ascii="Times New Roman" w:hAnsi="Times New Roman" w:eastAsia="Times New Roman" w:cs="Times New Roman"/>
                <w:color w:val="auto"/>
                <w:sz w:val="18"/>
                <w:szCs w:val="18"/>
              </w:rPr>
              <w:t>.5.2</w:t>
            </w:r>
          </w:p>
        </w:tc>
        <w:tc>
          <w:tcPr>
            <w:tcW w:w="10962" w:type="dxa"/>
            <w:shd w:val="clear" w:color="auto" w:fill="FFFFFF"/>
            <w:noWrap w:val="0"/>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使用单位每年对所使用的压力容器至少进行</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次年度检查</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年度检查按照</w:t>
            </w:r>
            <w:r>
              <w:rPr>
                <w:rFonts w:ascii="Times New Roman" w:hAnsi="Times New Roman" w:eastAsia="Times New Roman" w:cs="Times New Roman"/>
                <w:color w:val="auto"/>
                <w:sz w:val="18"/>
                <w:szCs w:val="18"/>
                <w:lang w:val="en-US" w:eastAsia="zh-CN" w:bidi="en-US"/>
              </w:rPr>
              <w:t>TSG 21-2016</w:t>
            </w:r>
            <w:r>
              <w:rPr>
                <w:rFonts w:ascii="Times New Roman" w:hAnsi="Times New Roman" w:cs="Times New Roman"/>
                <w:color w:val="auto"/>
                <w:sz w:val="18"/>
                <w:szCs w:val="18"/>
              </w:rPr>
              <w:t>中</w:t>
            </w:r>
            <w:r>
              <w:rPr>
                <w:rFonts w:ascii="Times New Roman" w:hAnsi="Times New Roman" w:eastAsia="Times New Roman" w:cs="Times New Roman"/>
                <w:color w:val="auto"/>
                <w:sz w:val="18"/>
                <w:szCs w:val="18"/>
                <w:lang w:val="en-US" w:eastAsia="zh-CN" w:bidi="en-US"/>
              </w:rPr>
              <w:t>7.2</w:t>
            </w:r>
            <w:r>
              <w:rPr>
                <w:rFonts w:ascii="Times New Roman" w:hAnsi="Times New Roman" w:cs="Times New Roman"/>
                <w:color w:val="auto"/>
                <w:sz w:val="18"/>
                <w:szCs w:val="18"/>
              </w:rPr>
              <w:t>的要求进行。年度检查工作完成后，应当进行压力容器使用安全状况分析，并且对年度检查中发现的隐患及时消除。</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年度检查工作可以由压力容器使用单位安全管理人员组织经过专业培训的作业人员进行，也可以委托有资质的特种设备检验机构进行。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557" w:hRule="exact"/>
          <w:jc w:val="center"/>
        </w:trPr>
        <w:tc>
          <w:tcPr>
            <w:tcW w:w="785"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2"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7.2.1</w:t>
            </w:r>
          </w:p>
        </w:tc>
        <w:tc>
          <w:tcPr>
            <w:tcW w:w="10962" w:type="dxa"/>
            <w:shd w:val="clear" w:color="auto" w:fill="FFFFFF"/>
            <w:noWrap w:val="0"/>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压力容器安全管理情况检查至少包括以下内容：</w:t>
            </w:r>
          </w:p>
          <w:p>
            <w:pPr>
              <w:pStyle w:val="10"/>
              <w:numPr>
                <w:ilvl w:val="0"/>
                <w:numId w:val="10"/>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压力容器的安全管理制度是否齐全有效；</w:t>
            </w:r>
          </w:p>
          <w:p>
            <w:pPr>
              <w:pStyle w:val="10"/>
              <w:numPr>
                <w:ilvl w:val="0"/>
                <w:numId w:val="10"/>
              </w:numPr>
              <w:tabs>
                <w:tab w:val="left" w:pos="331"/>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TSG 21-2016</w:t>
            </w:r>
            <w:r>
              <w:rPr>
                <w:rFonts w:ascii="Times New Roman" w:hAnsi="Times New Roman" w:cs="Times New Roman"/>
                <w:color w:val="auto"/>
                <w:sz w:val="18"/>
                <w:szCs w:val="18"/>
              </w:rPr>
              <w:t>规定的设计文件、竣工图样、产品合格证、产品质量证明文件、安装及使用维护保养说明、监检证书以及安装、改造、修理资料等是否完整；</w:t>
            </w:r>
          </w:p>
          <w:p>
            <w:pPr>
              <w:pStyle w:val="10"/>
              <w:numPr>
                <w:ilvl w:val="0"/>
                <w:numId w:val="10"/>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《使用登记证》</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《特种设备使用登记表》(以下简称《使用登记表》)是否与实际相符；</w:t>
            </w:r>
          </w:p>
          <w:p>
            <w:pPr>
              <w:pStyle w:val="10"/>
              <w:numPr>
                <w:ilvl w:val="0"/>
                <w:numId w:val="10"/>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压力容器作业人员是否持证上岗；</w:t>
            </w:r>
          </w:p>
          <w:p>
            <w:pPr>
              <w:pStyle w:val="10"/>
              <w:numPr>
                <w:ilvl w:val="0"/>
                <w:numId w:val="10"/>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压力容器日常维护保养、运行记录、定期安全检查记录是否符合要求；</w:t>
            </w:r>
          </w:p>
          <w:p>
            <w:pPr>
              <w:pStyle w:val="10"/>
              <w:numPr>
                <w:ilvl w:val="0"/>
                <w:numId w:val="10"/>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压力容器年度检查、定期检验报告是否齐全，检查、检验报告中所提出的问题是否得到解决；</w:t>
            </w:r>
          </w:p>
          <w:p>
            <w:pPr>
              <w:pStyle w:val="10"/>
              <w:numPr>
                <w:ilvl w:val="0"/>
                <w:numId w:val="10"/>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安全附件及仪表的校验(检定)、修理和更换记录是否齐全真实；</w:t>
            </w:r>
          </w:p>
          <w:p>
            <w:pPr>
              <w:pStyle w:val="10"/>
              <w:numPr>
                <w:ilvl w:val="0"/>
                <w:numId w:val="10"/>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是否有压力容器应急专项预案和演练记录；</w:t>
            </w:r>
          </w:p>
          <w:p>
            <w:pPr>
              <w:pStyle w:val="10"/>
              <w:numPr>
                <w:ilvl w:val="0"/>
                <w:numId w:val="10"/>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是否对压力容器事故、故障情况进行了记录。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977" w:hRule="exact"/>
          <w:jc w:val="center"/>
        </w:trPr>
        <w:tc>
          <w:tcPr>
            <w:tcW w:w="785"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992"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7.2.2</w:t>
            </w:r>
          </w:p>
        </w:tc>
        <w:tc>
          <w:tcPr>
            <w:tcW w:w="10962" w:type="dxa"/>
            <w:shd w:val="clear" w:color="auto" w:fill="FFFFFF"/>
            <w:noWrap w:val="0"/>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压力容器本体及其运行状况的检查至少包括以下内容：</w:t>
            </w:r>
          </w:p>
          <w:p>
            <w:pPr>
              <w:pStyle w:val="10"/>
              <w:numPr>
                <w:ilvl w:val="0"/>
                <w:numId w:val="11"/>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压力容器的产品铭牌及其有关标志是否符合有关规定；</w:t>
            </w:r>
          </w:p>
          <w:p>
            <w:pPr>
              <w:pStyle w:val="10"/>
              <w:numPr>
                <w:ilvl w:val="0"/>
                <w:numId w:val="11"/>
              </w:numPr>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压力容器的本体、接口(阀门、管路)部位、焊接(粘接)接头等有无裂纹、过热、变形、泄漏、机械接触损伤等；</w:t>
            </w:r>
          </w:p>
          <w:p>
            <w:pPr>
              <w:pStyle w:val="10"/>
              <w:numPr>
                <w:ilvl w:val="0"/>
                <w:numId w:val="11"/>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外表面有无腐蚀，有无异常结霜、结露等；</w:t>
            </w:r>
          </w:p>
          <w:p>
            <w:pPr>
              <w:pStyle w:val="10"/>
              <w:numPr>
                <w:ilvl w:val="0"/>
                <w:numId w:val="11"/>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隔热层有无破损、脱落、潮湿、跑冷；</w:t>
            </w:r>
          </w:p>
          <w:p>
            <w:pPr>
              <w:pStyle w:val="10"/>
              <w:numPr>
                <w:ilvl w:val="0"/>
                <w:numId w:val="11"/>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检漏孔、信号孔有无漏液、漏气，检漏孔是否通畅；</w:t>
            </w:r>
          </w:p>
          <w:p>
            <w:pPr>
              <w:pStyle w:val="10"/>
              <w:tabs>
                <w:tab w:val="left" w:pos="317"/>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w:t>
            </w:r>
            <w:r>
              <w:rPr>
                <w:rFonts w:ascii="Times New Roman" w:hAnsi="Times New Roman" w:cs="Times New Roman"/>
                <w:color w:val="auto"/>
                <w:sz w:val="18"/>
                <w:szCs w:val="18"/>
              </w:rPr>
              <w:t>压力容器与相邻管道或者构件有无异常振动、响声或者相互摩擦；</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(7) </w:t>
            </w:r>
            <w:r>
              <w:rPr>
                <w:rFonts w:ascii="Times New Roman" w:hAnsi="Times New Roman" w:cs="Times New Roman"/>
                <w:color w:val="auto"/>
                <w:sz w:val="18"/>
                <w:szCs w:val="18"/>
              </w:rPr>
              <w:t>支承或者支座有无损坏</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,基础有无下沉、倾斜、开裂，紧固件是否齐全、完好；</w:t>
            </w:r>
          </w:p>
          <w:p>
            <w:pPr>
              <w:pStyle w:val="10"/>
              <w:tabs>
                <w:tab w:val="left" w:pos="312"/>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 排放(疏水、排污)装置是否完好；</w:t>
            </w:r>
          </w:p>
          <w:p>
            <w:pPr>
              <w:pStyle w:val="10"/>
              <w:tabs>
                <w:tab w:val="left" w:pos="317"/>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(9) 运行期间是否有超压、超温、超量等现象；</w:t>
            </w:r>
          </w:p>
          <w:p>
            <w:pPr>
              <w:pStyle w:val="10"/>
              <w:tabs>
                <w:tab w:val="left" w:pos="408"/>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(10) 罐体有接地装置的，检查接地装置是否符合要求；</w:t>
            </w:r>
          </w:p>
          <w:p>
            <w:pPr>
              <w:pStyle w:val="10"/>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(11) </w:t>
            </w:r>
            <w:r>
              <w:rPr>
                <w:rFonts w:ascii="Times New Roman" w:hAnsi="Times New Roman" w:cs="Times New Roman"/>
                <w:color w:val="auto"/>
                <w:sz w:val="18"/>
                <w:szCs w:val="18"/>
              </w:rPr>
              <w:t>监控使用的压力容器，监控措施是否有效实施。</w:t>
            </w:r>
          </w:p>
        </w:tc>
      </w:tr>
    </w:tbl>
    <w:p>
      <w:pPr>
        <w:rPr>
          <w:rFonts w:ascii="Times New Roman" w:hAnsi="Times New Roman" w:cs="Times New Roman"/>
          <w:color w:val="auto"/>
        </w:rPr>
      </w:pPr>
    </w:p>
    <w:tbl>
      <w:tblPr>
        <w:tblStyle w:val="8"/>
        <w:tblW w:w="1500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785"/>
        <w:gridCol w:w="709"/>
        <w:gridCol w:w="709"/>
        <w:gridCol w:w="992"/>
        <w:gridCol w:w="851"/>
        <w:gridCol w:w="109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70" w:hRule="exact"/>
          <w:jc w:val="center"/>
        </w:trPr>
        <w:tc>
          <w:tcPr>
            <w:tcW w:w="785" w:type="dxa"/>
            <w:vMerge w:val="restart"/>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排查内容</w:t>
            </w:r>
          </w:p>
        </w:tc>
        <w:tc>
          <w:tcPr>
            <w:tcW w:w="709" w:type="dxa"/>
            <w:vMerge w:val="restart"/>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排查人</w:t>
            </w:r>
          </w:p>
        </w:tc>
        <w:tc>
          <w:tcPr>
            <w:tcW w:w="709" w:type="dxa"/>
            <w:vMerge w:val="restart"/>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rPr>
              <w:t>排查</w:t>
            </w:r>
          </w:p>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时间</w:t>
            </w:r>
          </w:p>
        </w:tc>
        <w:tc>
          <w:tcPr>
            <w:tcW w:w="1843" w:type="dxa"/>
            <w:gridSpan w:val="2"/>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排查依据</w:t>
            </w:r>
          </w:p>
        </w:tc>
        <w:tc>
          <w:tcPr>
            <w:tcW w:w="10962" w:type="dxa"/>
            <w:vMerge w:val="restart"/>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33" w:hRule="exact"/>
          <w:jc w:val="center"/>
        </w:trPr>
        <w:tc>
          <w:tcPr>
            <w:tcW w:w="785" w:type="dxa"/>
            <w:vMerge w:val="continue"/>
            <w:shd w:val="clear" w:color="auto" w:fill="FFFFFF"/>
            <w:noWrap w:val="0"/>
            <w:vAlign w:val="center"/>
          </w:tcPr>
          <w:p>
            <w:pPr>
              <w:snapToGrid w:val="0"/>
              <w:rPr>
                <w:rFonts w:ascii="Times New Roman" w:hAnsi="Times New Roman" w:cs="Times New Roman"/>
                <w:color w:val="auto"/>
                <w:sz w:val="18"/>
                <w:szCs w:val="18"/>
              </w:rPr>
            </w:pPr>
          </w:p>
        </w:tc>
        <w:tc>
          <w:tcPr>
            <w:tcW w:w="709" w:type="dxa"/>
            <w:vMerge w:val="continue"/>
            <w:shd w:val="clear" w:color="auto" w:fill="FFFFFF"/>
            <w:noWrap w:val="0"/>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snapToGrid w:val="0"/>
              <w:rPr>
                <w:rFonts w:ascii="Times New Roman" w:hAnsi="Times New Roman" w:cs="Times New Roman"/>
                <w:color w:val="auto"/>
                <w:sz w:val="18"/>
                <w:szCs w:val="18"/>
              </w:rPr>
            </w:pPr>
          </w:p>
        </w:tc>
        <w:tc>
          <w:tcPr>
            <w:tcW w:w="992" w:type="dxa"/>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法规标准</w:t>
            </w:r>
          </w:p>
        </w:tc>
        <w:tc>
          <w:tcPr>
            <w:tcW w:w="851" w:type="dxa"/>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适用条款</w:t>
            </w:r>
          </w:p>
        </w:tc>
        <w:tc>
          <w:tcPr>
            <w:tcW w:w="10962" w:type="dxa"/>
            <w:vMerge w:val="continue"/>
            <w:shd w:val="clear" w:color="auto" w:fill="FFFFFF"/>
            <w:noWrap w:val="0"/>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951" w:hRule="atLeast"/>
          <w:jc w:val="center"/>
        </w:trPr>
        <w:tc>
          <w:tcPr>
            <w:tcW w:w="785" w:type="dxa"/>
            <w:vMerge w:val="restart"/>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年度检查</w:t>
            </w:r>
          </w:p>
        </w:tc>
        <w:tc>
          <w:tcPr>
            <w:tcW w:w="709" w:type="dxa"/>
            <w:vMerge w:val="restart"/>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容器作业人员或有资格的检验人员</w:t>
            </w:r>
          </w:p>
        </w:tc>
        <w:tc>
          <w:tcPr>
            <w:tcW w:w="709" w:type="dxa"/>
            <w:vMerge w:val="restart"/>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每年</w:t>
            </w:r>
          </w:p>
        </w:tc>
        <w:tc>
          <w:tcPr>
            <w:tcW w:w="992" w:type="dxa"/>
            <w:vMerge w:val="restart"/>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固定式压力容器安全技术监察规程 </w:t>
            </w:r>
            <w:r>
              <w:rPr>
                <w:rFonts w:ascii="Times New Roman" w:hAnsi="Times New Roman" w:cs="Times New Roman"/>
                <w:color w:val="auto"/>
                <w:sz w:val="18"/>
                <w:szCs w:val="18"/>
                <w:lang w:val="en-US" w:eastAsia="zh-CN" w:bidi="en-US"/>
              </w:rPr>
              <w:t>(TSG 21-2016)</w:t>
            </w:r>
          </w:p>
        </w:tc>
        <w:tc>
          <w:tcPr>
            <w:tcW w:w="851" w:type="dxa"/>
            <w:shd w:val="clear" w:color="auto" w:fill="FFFFFF"/>
            <w:noWrap w:val="0"/>
            <w:vAlign w:val="center"/>
          </w:tcPr>
          <w:p>
            <w:pPr>
              <w:pStyle w:val="10"/>
              <w:snapToGrid w:val="0"/>
              <w:jc w:val="center"/>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en-US" w:bidi="en-US"/>
              </w:rPr>
              <w:t>7.2.2.2.1</w:t>
            </w:r>
          </w:p>
        </w:tc>
        <w:tc>
          <w:tcPr>
            <w:tcW w:w="10962" w:type="dxa"/>
            <w:shd w:val="clear" w:color="auto" w:fill="FFFFFF"/>
            <w:noWrap w:val="0"/>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搪玻璃压力容器检查：</w:t>
            </w:r>
          </w:p>
          <w:p>
            <w:pPr>
              <w:pStyle w:val="10"/>
              <w:numPr>
                <w:ilvl w:val="0"/>
                <w:numId w:val="1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压力容器外表面防腐漆是否完好，是否有锈蚀、腐蚀现象；</w:t>
            </w:r>
          </w:p>
          <w:p>
            <w:pPr>
              <w:pStyle w:val="10"/>
              <w:numPr>
                <w:ilvl w:val="0"/>
                <w:numId w:val="1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密封面是否有泄漏；</w:t>
            </w:r>
          </w:p>
          <w:p>
            <w:pPr>
              <w:pStyle w:val="10"/>
              <w:numPr>
                <w:ilvl w:val="0"/>
                <w:numId w:val="1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夹套底部排净(疏水)口开闭是否灵活；</w:t>
            </w:r>
          </w:p>
          <w:p>
            <w:pPr>
              <w:pStyle w:val="10"/>
              <w:numPr>
                <w:ilvl w:val="0"/>
                <w:numId w:val="1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夹套顶部放气口开闭是否灵活。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993" w:hRule="exact"/>
          <w:jc w:val="center"/>
        </w:trPr>
        <w:tc>
          <w:tcPr>
            <w:tcW w:w="785"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2"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rPr>
              <w:t>7.2.2.2.2</w:t>
            </w:r>
          </w:p>
        </w:tc>
        <w:tc>
          <w:tcPr>
            <w:tcW w:w="10962" w:type="dxa"/>
            <w:shd w:val="clear" w:color="auto" w:fill="FFFFFF"/>
            <w:noWrap w:val="0"/>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石墨及石墨衬里压力容器检查：</w:t>
            </w:r>
          </w:p>
          <w:p>
            <w:pPr>
              <w:pStyle w:val="10"/>
              <w:numPr>
                <w:ilvl w:val="0"/>
                <w:numId w:val="13"/>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压力容器外表面防腐漆是否完好，是否有锈蚀、腐蚀现象；</w:t>
            </w:r>
          </w:p>
          <w:p>
            <w:pPr>
              <w:pStyle w:val="10"/>
              <w:numPr>
                <w:ilvl w:val="0"/>
                <w:numId w:val="13"/>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石墨件外表面是否有腐蚀、破损和开裂现象；</w:t>
            </w:r>
          </w:p>
          <w:p>
            <w:pPr>
              <w:pStyle w:val="10"/>
              <w:numPr>
                <w:ilvl w:val="0"/>
                <w:numId w:val="13"/>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密封面是否有泄漏。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498" w:hRule="exact"/>
          <w:jc w:val="center"/>
        </w:trPr>
        <w:tc>
          <w:tcPr>
            <w:tcW w:w="785"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2"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rPr>
              <w:t>7.2.2.2.3</w:t>
            </w:r>
          </w:p>
        </w:tc>
        <w:tc>
          <w:tcPr>
            <w:tcW w:w="10962" w:type="dxa"/>
            <w:shd w:val="clear" w:color="auto" w:fill="FFFFFF"/>
            <w:noWrap w:val="0"/>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纤维增强塑料及纤维增强塑料衬里压力容器检查：</w:t>
            </w:r>
          </w:p>
          <w:p>
            <w:pPr>
              <w:pStyle w:val="10"/>
              <w:numPr>
                <w:ilvl w:val="0"/>
                <w:numId w:val="14"/>
              </w:numPr>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压力容器外表面防腐漆是否完好，是否有腐蚀、损伤、纤维裸露、裂纹或者裂缝、分层、凹坑、划痕、鼓包、变形现象；</w:t>
            </w:r>
          </w:p>
          <w:p>
            <w:pPr>
              <w:pStyle w:val="10"/>
              <w:numPr>
                <w:ilvl w:val="0"/>
                <w:numId w:val="14"/>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管口、支撑件等连接部位是否有开裂、拉脱现象；</w:t>
            </w:r>
          </w:p>
          <w:p>
            <w:pPr>
              <w:pStyle w:val="10"/>
              <w:numPr>
                <w:ilvl w:val="0"/>
                <w:numId w:val="14"/>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支座、爬梯、平台等是否有松动、破坏等影响安全的因素；</w:t>
            </w:r>
          </w:p>
          <w:p>
            <w:pPr>
              <w:pStyle w:val="10"/>
              <w:numPr>
                <w:ilvl w:val="0"/>
                <w:numId w:val="14"/>
              </w:numPr>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紧固件、阀门等零部件是否有腐蚀破坏现象；</w:t>
            </w:r>
          </w:p>
          <w:p>
            <w:pPr>
              <w:pStyle w:val="10"/>
              <w:numPr>
                <w:ilvl w:val="0"/>
                <w:numId w:val="14"/>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密封面是否有泄漏。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757" w:hRule="atLeast"/>
          <w:jc w:val="center"/>
        </w:trPr>
        <w:tc>
          <w:tcPr>
            <w:tcW w:w="785"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2"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rPr>
              <w:t>7.2.2.2.4</w:t>
            </w:r>
          </w:p>
        </w:tc>
        <w:tc>
          <w:tcPr>
            <w:tcW w:w="10962" w:type="dxa"/>
            <w:shd w:val="clear" w:color="auto" w:fill="FFFFFF"/>
            <w:noWrap w:val="0"/>
            <w:vAlign w:val="top"/>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热塑性塑料衬里压力容器检查：</w:t>
            </w:r>
          </w:p>
          <w:p>
            <w:pPr>
              <w:pStyle w:val="10"/>
              <w:numPr>
                <w:ilvl w:val="0"/>
                <w:numId w:val="15"/>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压力容器外表面防腐漆是否完好，是否有锈蚀、腐蚀现象；</w:t>
            </w:r>
          </w:p>
          <w:p>
            <w:pPr>
              <w:pStyle w:val="10"/>
              <w:numPr>
                <w:ilvl w:val="0"/>
                <w:numId w:val="15"/>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密封面是否有泄漏。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21" w:hRule="atLeast"/>
          <w:jc w:val="center"/>
        </w:trPr>
        <w:tc>
          <w:tcPr>
            <w:tcW w:w="785"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2"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7.2.3</w:t>
            </w:r>
          </w:p>
        </w:tc>
        <w:tc>
          <w:tcPr>
            <w:tcW w:w="10962" w:type="dxa"/>
            <w:shd w:val="clear" w:color="auto" w:fill="FFFFFF"/>
            <w:noWrap w:val="0"/>
            <w:vAlign w:val="top"/>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安全附件及仪表检查：</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安全附件的检查包括对安全阀、爆破片装置、安全联锁装置等的检查，仪表的检查包括对压力表、液位计、测温仪表等的检查。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694" w:hRule="exact"/>
          <w:jc w:val="center"/>
        </w:trPr>
        <w:tc>
          <w:tcPr>
            <w:tcW w:w="785"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992"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0"/>
            <w:vAlign w:val="center"/>
          </w:tcPr>
          <w:p>
            <w:pPr>
              <w:pStyle w:val="10"/>
              <w:snapToGrid w:val="0"/>
              <w:spacing w:line="240" w:lineRule="auto"/>
              <w:jc w:val="center"/>
              <w:rPr>
                <w:rFonts w:ascii="Times New Roman" w:hAnsi="Times New Roman" w:eastAsia="Times New Roman" w:cs="Times New Roman"/>
                <w:color w:val="auto"/>
                <w:sz w:val="18"/>
                <w:szCs w:val="18"/>
                <w:lang w:val="en-US" w:eastAsia="en-US" w:bidi="en-US"/>
              </w:rPr>
            </w:pPr>
            <w:r>
              <w:rPr>
                <w:rFonts w:ascii="Times New Roman" w:hAnsi="Times New Roman" w:eastAsia="Times New Roman" w:cs="Times New Roman"/>
                <w:color w:val="auto"/>
                <w:sz w:val="18"/>
                <w:szCs w:val="18"/>
                <w:lang w:val="en-US" w:eastAsia="en-US" w:bidi="en-US"/>
              </w:rPr>
              <w:t>7.2.3.1</w:t>
            </w:r>
          </w:p>
        </w:tc>
        <w:tc>
          <w:tcPr>
            <w:tcW w:w="10962" w:type="dxa"/>
            <w:shd w:val="clear" w:color="auto" w:fill="FFFFFF"/>
            <w:noWrap w:val="0"/>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安全阀：</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hAnsi="Times New Roman" w:eastAsia="宋体" w:cs="Times New Roman"/>
                <w:color w:val="auto"/>
                <w:sz w:val="18"/>
                <w:szCs w:val="18"/>
                <w:lang w:eastAsia="zh-CN"/>
              </w:rPr>
              <w:t>.</w:t>
            </w:r>
            <w:r>
              <w:rPr>
                <w:rFonts w:ascii="Times New Roman" w:hAnsi="Times New Roman" w:cs="Times New Roman"/>
                <w:color w:val="auto"/>
                <w:sz w:val="18"/>
                <w:szCs w:val="18"/>
              </w:rPr>
              <w:t>检查内容和要求</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安全阀检查至少包括以下内容：</w:t>
            </w:r>
          </w:p>
          <w:p>
            <w:pPr>
              <w:pStyle w:val="10"/>
              <w:numPr>
                <w:ilvl w:val="0"/>
                <w:numId w:val="16"/>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选型是否正确；</w:t>
            </w:r>
          </w:p>
          <w:p>
            <w:pPr>
              <w:pStyle w:val="10"/>
              <w:numPr>
                <w:ilvl w:val="0"/>
                <w:numId w:val="16"/>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是否在校验有效期内使用；</w:t>
            </w:r>
          </w:p>
          <w:p>
            <w:pPr>
              <w:pStyle w:val="10"/>
              <w:numPr>
                <w:ilvl w:val="0"/>
                <w:numId w:val="16"/>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杠杆式安全阀的防止重锤自由移动和杠杆越出的装置是否完好，弹簧式安全阀的调整螺钉的铅封装置是否完好</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静重式安全阀的防止重片飞脱的装置是否完好；</w:t>
            </w:r>
          </w:p>
          <w:p>
            <w:pPr>
              <w:pStyle w:val="10"/>
              <w:numPr>
                <w:ilvl w:val="0"/>
                <w:numId w:val="16"/>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如果安全阀和排放口之间装设了截止阀，截止阀是否处于全开位置及铅封是否完好；</w:t>
            </w:r>
          </w:p>
          <w:p>
            <w:pPr>
              <w:pStyle w:val="10"/>
              <w:numPr>
                <w:ilvl w:val="0"/>
                <w:numId w:val="16"/>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安全阀是否泄漏；</w:t>
            </w:r>
          </w:p>
          <w:p>
            <w:pPr>
              <w:pStyle w:val="10"/>
              <w:numPr>
                <w:ilvl w:val="0"/>
                <w:numId w:val="16"/>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放空管是否通畅，防雨帽是否完好。</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2</w:t>
            </w:r>
            <w:r>
              <w:rPr>
                <w:rFonts w:ascii="Times New Roman" w:hAnsi="Times New Roman" w:eastAsia="宋体" w:cs="Times New Roman"/>
                <w:color w:val="auto"/>
                <w:sz w:val="18"/>
                <w:szCs w:val="18"/>
                <w:lang w:eastAsia="zh-CN"/>
              </w:rPr>
              <w:t>.</w:t>
            </w:r>
            <w:r>
              <w:rPr>
                <w:rFonts w:ascii="Times New Roman" w:hAnsi="Times New Roman" w:cs="Times New Roman"/>
                <w:color w:val="auto"/>
                <w:sz w:val="18"/>
                <w:szCs w:val="18"/>
              </w:rPr>
              <w:t>检查结果处理</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安全阀检查时，凡发现以下情况之一的，使用单位应当限期改正并且采取有效措施确保改正期间的安全，否则暂停该压力容器使用：</w:t>
            </w:r>
          </w:p>
          <w:p>
            <w:pPr>
              <w:pStyle w:val="10"/>
              <w:numPr>
                <w:ilvl w:val="0"/>
                <w:numId w:val="17"/>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选型错误的；</w:t>
            </w:r>
          </w:p>
          <w:p>
            <w:pPr>
              <w:pStyle w:val="10"/>
              <w:numPr>
                <w:ilvl w:val="0"/>
                <w:numId w:val="17"/>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超过校验有效期的；</w:t>
            </w:r>
          </w:p>
          <w:p>
            <w:pPr>
              <w:pStyle w:val="10"/>
              <w:numPr>
                <w:ilvl w:val="0"/>
                <w:numId w:val="17"/>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铅封损坏的；</w:t>
            </w:r>
          </w:p>
          <w:p>
            <w:pPr>
              <w:pStyle w:val="10"/>
              <w:numPr>
                <w:ilvl w:val="0"/>
                <w:numId w:val="17"/>
              </w:numPr>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安全阀泄漏的。</w:t>
            </w:r>
          </w:p>
        </w:tc>
      </w:tr>
    </w:tbl>
    <w:p>
      <w:pPr>
        <w:snapToGrid w:val="0"/>
        <w:rPr>
          <w:rFonts w:ascii="Times New Roman" w:hAnsi="Times New Roman" w:eastAsia="宋体" w:cs="Times New Roman"/>
          <w:color w:val="auto"/>
          <w:sz w:val="18"/>
          <w:szCs w:val="18"/>
        </w:rPr>
      </w:pPr>
    </w:p>
    <w:tbl>
      <w:tblPr>
        <w:tblStyle w:val="8"/>
        <w:tblW w:w="1500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785"/>
        <w:gridCol w:w="709"/>
        <w:gridCol w:w="851"/>
        <w:gridCol w:w="1134"/>
        <w:gridCol w:w="850"/>
        <w:gridCol w:w="106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70" w:hRule="exact"/>
          <w:jc w:val="center"/>
        </w:trPr>
        <w:tc>
          <w:tcPr>
            <w:tcW w:w="785" w:type="dxa"/>
            <w:vMerge w:val="restart"/>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排查内容</w:t>
            </w:r>
          </w:p>
        </w:tc>
        <w:tc>
          <w:tcPr>
            <w:tcW w:w="709" w:type="dxa"/>
            <w:vMerge w:val="restart"/>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排查人</w:t>
            </w:r>
          </w:p>
        </w:tc>
        <w:tc>
          <w:tcPr>
            <w:tcW w:w="851" w:type="dxa"/>
            <w:vMerge w:val="restart"/>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rPr>
              <w:t>排查</w:t>
            </w:r>
          </w:p>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时间</w:t>
            </w:r>
          </w:p>
        </w:tc>
        <w:tc>
          <w:tcPr>
            <w:tcW w:w="1984" w:type="dxa"/>
            <w:gridSpan w:val="2"/>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排查依据</w:t>
            </w:r>
          </w:p>
        </w:tc>
        <w:tc>
          <w:tcPr>
            <w:tcW w:w="10679" w:type="dxa"/>
            <w:vMerge w:val="restart"/>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33" w:hRule="exact"/>
          <w:jc w:val="center"/>
        </w:trPr>
        <w:tc>
          <w:tcPr>
            <w:tcW w:w="785" w:type="dxa"/>
            <w:vMerge w:val="continue"/>
            <w:shd w:val="clear" w:color="auto" w:fill="FFFFFF"/>
            <w:noWrap w:val="0"/>
            <w:vAlign w:val="center"/>
          </w:tcPr>
          <w:p>
            <w:pPr>
              <w:snapToGrid w:val="0"/>
              <w:rPr>
                <w:rFonts w:ascii="Times New Roman" w:hAnsi="Times New Roman" w:cs="Times New Roman"/>
                <w:color w:val="auto"/>
                <w:sz w:val="18"/>
                <w:szCs w:val="18"/>
              </w:rPr>
            </w:pPr>
          </w:p>
        </w:tc>
        <w:tc>
          <w:tcPr>
            <w:tcW w:w="709" w:type="dxa"/>
            <w:vMerge w:val="continue"/>
            <w:shd w:val="clear" w:color="auto" w:fill="FFFFFF"/>
            <w:noWrap w:val="0"/>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0"/>
            <w:vAlign w:val="center"/>
          </w:tcPr>
          <w:p>
            <w:pPr>
              <w:snapToGrid w:val="0"/>
              <w:rPr>
                <w:rFonts w:ascii="Times New Roman" w:hAnsi="Times New Roman" w:cs="Times New Roman"/>
                <w:color w:val="auto"/>
                <w:sz w:val="18"/>
                <w:szCs w:val="18"/>
              </w:rPr>
            </w:pPr>
          </w:p>
        </w:tc>
        <w:tc>
          <w:tcPr>
            <w:tcW w:w="1134" w:type="dxa"/>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法规标准</w:t>
            </w:r>
          </w:p>
        </w:tc>
        <w:tc>
          <w:tcPr>
            <w:tcW w:w="850" w:type="dxa"/>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适用条款</w:t>
            </w:r>
          </w:p>
        </w:tc>
        <w:tc>
          <w:tcPr>
            <w:tcW w:w="10679" w:type="dxa"/>
            <w:vMerge w:val="continue"/>
            <w:shd w:val="clear" w:color="auto" w:fill="FFFFFF"/>
            <w:noWrap w:val="0"/>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467" w:hRule="exact"/>
          <w:jc w:val="center"/>
        </w:trPr>
        <w:tc>
          <w:tcPr>
            <w:tcW w:w="785" w:type="dxa"/>
            <w:vMerge w:val="restart"/>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年度检查</w:t>
            </w:r>
          </w:p>
        </w:tc>
        <w:tc>
          <w:tcPr>
            <w:tcW w:w="709" w:type="dxa"/>
            <w:vMerge w:val="restart"/>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容器作业人员或有资格的检验人员</w:t>
            </w:r>
          </w:p>
        </w:tc>
        <w:tc>
          <w:tcPr>
            <w:tcW w:w="851" w:type="dxa"/>
            <w:vMerge w:val="restart"/>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每年</w:t>
            </w:r>
          </w:p>
        </w:tc>
        <w:tc>
          <w:tcPr>
            <w:tcW w:w="1134" w:type="dxa"/>
            <w:vMerge w:val="restart"/>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固定式压力容器安全技术监察规程 </w:t>
            </w:r>
            <w:r>
              <w:rPr>
                <w:rFonts w:ascii="Times New Roman" w:hAnsi="Times New Roman" w:cs="Times New Roman"/>
                <w:color w:val="auto"/>
                <w:sz w:val="18"/>
                <w:szCs w:val="18"/>
                <w:lang w:val="en-US" w:eastAsia="zh-CN" w:bidi="en-US"/>
              </w:rPr>
              <w:t>(TSG 21-2016)</w:t>
            </w:r>
          </w:p>
        </w:tc>
        <w:tc>
          <w:tcPr>
            <w:tcW w:w="850"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7.2.3.1</w:t>
            </w:r>
          </w:p>
        </w:tc>
        <w:tc>
          <w:tcPr>
            <w:tcW w:w="10679" w:type="dxa"/>
            <w:shd w:val="clear" w:color="auto" w:fill="FFFFFF"/>
            <w:noWrap w:val="0"/>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rPr>
              <w:t>3</w:t>
            </w:r>
            <w:r>
              <w:rPr>
                <w:rFonts w:ascii="Times New Roman" w:hAnsi="Times New Roman" w:eastAsia="宋体" w:cs="Times New Roman"/>
                <w:color w:val="auto"/>
                <w:sz w:val="18"/>
                <w:szCs w:val="18"/>
                <w:lang w:eastAsia="zh-CN"/>
              </w:rPr>
              <w:t>.</w:t>
            </w:r>
            <w:r>
              <w:rPr>
                <w:rFonts w:ascii="Times New Roman" w:hAnsi="Times New Roman" w:cs="Times New Roman"/>
                <w:color w:val="auto"/>
                <w:sz w:val="18"/>
                <w:szCs w:val="18"/>
              </w:rPr>
              <w:t>安全阀校验周期基本要求</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安全阀一般每年至少校验一次，符合</w:t>
            </w:r>
            <w:r>
              <w:rPr>
                <w:rFonts w:ascii="Times New Roman" w:hAnsi="Times New Roman" w:eastAsia="Times New Roman" w:cs="Times New Roman"/>
                <w:color w:val="auto"/>
                <w:sz w:val="18"/>
                <w:szCs w:val="18"/>
                <w:lang w:val="en-US" w:eastAsia="zh-CN" w:bidi="en-US"/>
              </w:rPr>
              <w:t>(TSG 21</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2016)7.2.3.1.3.2</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7.2.3.1.3.3</w:t>
            </w:r>
            <w:r>
              <w:rPr>
                <w:rFonts w:ascii="Times New Roman" w:hAnsi="Times New Roman" w:cs="Times New Roman"/>
                <w:color w:val="auto"/>
                <w:sz w:val="18"/>
                <w:szCs w:val="18"/>
              </w:rPr>
              <w:t>校验周期延长的特殊要求，经过使用单位</w:t>
            </w:r>
            <w:r>
              <w:rPr>
                <w:rFonts w:ascii="Times New Roman" w:hAnsi="Times New Roman" w:cs="Times New Roman"/>
                <w:color w:val="auto"/>
                <w:sz w:val="18"/>
                <w:szCs w:val="18"/>
                <w:lang w:eastAsia="zh-CN"/>
              </w:rPr>
              <w:t>安全</w:t>
            </w:r>
            <w:r>
              <w:rPr>
                <w:rFonts w:ascii="Times New Roman" w:hAnsi="Times New Roman" w:cs="Times New Roman"/>
                <w:color w:val="auto"/>
                <w:sz w:val="18"/>
                <w:szCs w:val="18"/>
              </w:rPr>
              <w:t>管理负责人批准可以按照其要求适当延长校验周期。凡是校验周期延长的安全阀，使用单位应当将延期校验情况书面告知办理压力容器《特种设备使用登记证》的机关。</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rPr>
              <w:t>4</w:t>
            </w:r>
            <w:r>
              <w:rPr>
                <w:rFonts w:ascii="Times New Roman" w:hAnsi="Times New Roman" w:eastAsia="宋体" w:cs="Times New Roman"/>
                <w:color w:val="auto"/>
                <w:sz w:val="18"/>
                <w:szCs w:val="18"/>
                <w:lang w:eastAsia="zh-CN"/>
              </w:rPr>
              <w:t>.</w:t>
            </w:r>
            <w:r>
              <w:rPr>
                <w:rFonts w:ascii="Times New Roman" w:hAnsi="Times New Roman" w:cs="Times New Roman"/>
                <w:color w:val="auto"/>
                <w:sz w:val="18"/>
                <w:szCs w:val="18"/>
              </w:rPr>
              <w:t>现场校验和调整</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安全阀需要进行现场校验(在线校验)和压力调整时，使用单位压力容器安全管理人员和安全阀修理 (校验)人员应当到场确认。调校合格的安全阀应当加铅封。校验及调整装置用压力表的精度应当不低于</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级。在校验和调整时，应当有可靠的安全防护措施。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5103" w:hRule="exact"/>
          <w:jc w:val="center"/>
        </w:trPr>
        <w:tc>
          <w:tcPr>
            <w:tcW w:w="785"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1134"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850"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7.2.3.</w:t>
            </w:r>
            <w:r>
              <w:rPr>
                <w:rFonts w:ascii="Times New Roman" w:hAnsi="Times New Roman" w:eastAsia="Times New Roman" w:cs="Times New Roman"/>
                <w:color w:val="auto"/>
                <w:sz w:val="18"/>
                <w:szCs w:val="18"/>
              </w:rPr>
              <w:t>2</w:t>
            </w:r>
          </w:p>
        </w:tc>
        <w:tc>
          <w:tcPr>
            <w:tcW w:w="10679" w:type="dxa"/>
            <w:shd w:val="clear" w:color="auto" w:fill="FFFFFF"/>
            <w:noWrap w:val="0"/>
            <w:vAlign w:val="top"/>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爆破片装置：</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检查内容和要求</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爆破片装置的检查至少包括以下内容：</w:t>
            </w:r>
          </w:p>
          <w:p>
            <w:pPr>
              <w:pStyle w:val="10"/>
              <w:numPr>
                <w:ilvl w:val="0"/>
                <w:numId w:val="18"/>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爆破片是否超过产品说明书规定的使用期限；</w:t>
            </w:r>
          </w:p>
          <w:p>
            <w:pPr>
              <w:pStyle w:val="10"/>
              <w:numPr>
                <w:ilvl w:val="0"/>
                <w:numId w:val="18"/>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爆破片的安装方向是否正确，产品铭牌上的爆破压力和温度是否符合运行要求；</w:t>
            </w:r>
          </w:p>
          <w:p>
            <w:pPr>
              <w:pStyle w:val="10"/>
              <w:numPr>
                <w:ilvl w:val="0"/>
                <w:numId w:val="18"/>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爆破片装置有无渗漏；</w:t>
            </w:r>
          </w:p>
          <w:p>
            <w:pPr>
              <w:pStyle w:val="10"/>
              <w:numPr>
                <w:ilvl w:val="0"/>
                <w:numId w:val="18"/>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爆破片使用过程中是否存在未超压爆破或者超压未爆破的情况；</w:t>
            </w:r>
          </w:p>
          <w:p>
            <w:pPr>
              <w:pStyle w:val="10"/>
              <w:numPr>
                <w:ilvl w:val="0"/>
                <w:numId w:val="18"/>
              </w:numPr>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与爆破片夹持器相连的放空管是否通畅，放空管内是否存水(或者冰)，防水帽、防雨片是否完好；</w:t>
            </w:r>
          </w:p>
          <w:p>
            <w:pPr>
              <w:pStyle w:val="10"/>
              <w:numPr>
                <w:ilvl w:val="0"/>
                <w:numId w:val="18"/>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爆破片单独作泄压装置，检查爆破片和容器间装设的截止阀是否处于全开状态，铅封是否完好；</w:t>
            </w:r>
          </w:p>
          <w:p>
            <w:pPr>
              <w:pStyle w:val="10"/>
              <w:numPr>
                <w:ilvl w:val="0"/>
                <w:numId w:val="18"/>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爆破片和安全阀串联使用，如果爆破片装在安全阀的进口侧，检查爆破片和安全阀之间装设的压力表有无压力显示，打开截止阀检查有无气体排出；</w:t>
            </w:r>
          </w:p>
          <w:p>
            <w:pPr>
              <w:pStyle w:val="10"/>
              <w:numPr>
                <w:ilvl w:val="0"/>
                <w:numId w:val="18"/>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爆破片和安全阀串联使用，如果爆破片装在安全阀的出口侧，检查爆破片和安全阀之间装设的压力表有无压力显示，如果有压力显示应当打开截止阀，检查能否顺利疏水、排气；</w:t>
            </w:r>
          </w:p>
          <w:p>
            <w:pPr>
              <w:pStyle w:val="10"/>
              <w:numPr>
                <w:ilvl w:val="0"/>
                <w:numId w:val="18"/>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爆破片和安全阀并联使用时，检查爆破片与容器间装设的截止阀是否处于全开状态，铅封是否完好。</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检查结果处理</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爆破片装置检查时，凡发现以下情况之一的，使用单位应当限期更换爆破片装置并且采取有效措施确保更换期间的安全，否则暂停该压力容器使用：</w:t>
            </w:r>
          </w:p>
          <w:p>
            <w:pPr>
              <w:pStyle w:val="10"/>
              <w:numPr>
                <w:ilvl w:val="0"/>
                <w:numId w:val="19"/>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爆破片超过规定使用期限的；</w:t>
            </w:r>
          </w:p>
          <w:p>
            <w:pPr>
              <w:pStyle w:val="10"/>
              <w:numPr>
                <w:ilvl w:val="0"/>
                <w:numId w:val="19"/>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爆破片安装方向错误的；</w:t>
            </w:r>
          </w:p>
          <w:p>
            <w:pPr>
              <w:pStyle w:val="10"/>
              <w:numPr>
                <w:ilvl w:val="0"/>
                <w:numId w:val="19"/>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爆破片标定的爆破压力、温度和运行要求不符的；</w:t>
            </w:r>
          </w:p>
          <w:p>
            <w:pPr>
              <w:pStyle w:val="10"/>
              <w:numPr>
                <w:ilvl w:val="0"/>
                <w:numId w:val="20"/>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爆破片使用中超过标定爆破压力而未爆破的；</w:t>
            </w:r>
          </w:p>
          <w:p>
            <w:pPr>
              <w:pStyle w:val="10"/>
              <w:numPr>
                <w:ilvl w:val="0"/>
                <w:numId w:val="20"/>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爆破片和安全阀串联使用时，爆破片和安全阀之间的压力表有压力显示或者截止阀打开后有气体漏出的；</w:t>
            </w:r>
          </w:p>
          <w:p>
            <w:pPr>
              <w:pStyle w:val="10"/>
              <w:numPr>
                <w:ilvl w:val="0"/>
                <w:numId w:val="20"/>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爆破片单独作泄压装置或者爆破片与安全阀并联使用时，爆破片和容器间的截止阀未处于全开状态或者铅封损坏的；</w:t>
            </w:r>
          </w:p>
          <w:p>
            <w:pPr>
              <w:pStyle w:val="10"/>
              <w:numPr>
                <w:ilvl w:val="0"/>
                <w:numId w:val="19"/>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爆破片装置泄漏的。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427" w:hRule="exact"/>
          <w:jc w:val="center"/>
        </w:trPr>
        <w:tc>
          <w:tcPr>
            <w:tcW w:w="785"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1134"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850"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7.2.3.</w:t>
            </w:r>
            <w:r>
              <w:rPr>
                <w:rFonts w:ascii="Times New Roman" w:hAnsi="Times New Roman" w:eastAsia="Times New Roman" w:cs="Times New Roman"/>
                <w:color w:val="auto"/>
                <w:sz w:val="18"/>
                <w:szCs w:val="18"/>
              </w:rPr>
              <w:t>3</w:t>
            </w:r>
          </w:p>
        </w:tc>
        <w:tc>
          <w:tcPr>
            <w:tcW w:w="10679" w:type="dxa"/>
            <w:shd w:val="clear" w:color="auto" w:fill="FFFFFF"/>
            <w:noWrap w:val="0"/>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安全联锁装置：</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检查快开门式压力容器的安全联锁装置是否完好，功能是否符合要求。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707" w:hRule="exact"/>
          <w:jc w:val="center"/>
        </w:trPr>
        <w:tc>
          <w:tcPr>
            <w:tcW w:w="785"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1134"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850" w:type="dxa"/>
            <w:shd w:val="clear" w:color="auto" w:fill="FFFFFF"/>
            <w:noWrap w:val="0"/>
            <w:vAlign w:val="center"/>
          </w:tcPr>
          <w:p>
            <w:pPr>
              <w:pStyle w:val="10"/>
              <w:snapToGrid w:val="0"/>
              <w:spacing w:line="240" w:lineRule="auto"/>
              <w:jc w:val="center"/>
              <w:rPr>
                <w:rFonts w:ascii="Times New Roman" w:hAnsi="Times New Roman" w:eastAsia="Times New Roman" w:cs="Times New Roman"/>
                <w:color w:val="auto"/>
                <w:sz w:val="18"/>
                <w:szCs w:val="18"/>
                <w:lang w:val="en-US" w:eastAsia="en-US" w:bidi="en-US"/>
              </w:rPr>
            </w:pPr>
            <w:r>
              <w:rPr>
                <w:rFonts w:ascii="Times New Roman" w:hAnsi="Times New Roman" w:eastAsia="Times New Roman" w:cs="Times New Roman"/>
                <w:color w:val="auto"/>
                <w:sz w:val="18"/>
                <w:szCs w:val="18"/>
                <w:lang w:val="en-US" w:eastAsia="en-US" w:bidi="en-US"/>
              </w:rPr>
              <w:t>7.2.3.</w:t>
            </w:r>
            <w:r>
              <w:rPr>
                <w:rFonts w:ascii="Times New Roman" w:hAnsi="Times New Roman" w:eastAsia="Times New Roman" w:cs="Times New Roman"/>
                <w:color w:val="auto"/>
                <w:sz w:val="18"/>
                <w:szCs w:val="18"/>
              </w:rPr>
              <w:t>4</w:t>
            </w:r>
          </w:p>
        </w:tc>
        <w:tc>
          <w:tcPr>
            <w:tcW w:w="10679" w:type="dxa"/>
            <w:shd w:val="clear" w:color="auto" w:fill="FFFFFF"/>
            <w:noWrap w:val="0"/>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压力表：</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检查内容和要求</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压力表的检查至少包括以下内容：</w:t>
            </w:r>
          </w:p>
          <w:p>
            <w:pPr>
              <w:pStyle w:val="10"/>
              <w:numPr>
                <w:ilvl w:val="0"/>
                <w:numId w:val="21"/>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压力表的选型是否符合要求；</w:t>
            </w:r>
          </w:p>
          <w:p>
            <w:pPr>
              <w:pStyle w:val="10"/>
              <w:numPr>
                <w:ilvl w:val="0"/>
                <w:numId w:val="21"/>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压力表的定期检修维护、检定有效期及其封签是否符合规定；</w:t>
            </w:r>
          </w:p>
          <w:p>
            <w:pPr>
              <w:pStyle w:val="10"/>
              <w:numPr>
                <w:ilvl w:val="0"/>
                <w:numId w:val="21"/>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压力表外观、精度等级、量程是否符合要求；</w:t>
            </w:r>
          </w:p>
          <w:p>
            <w:pPr>
              <w:pStyle w:val="10"/>
              <w:numPr>
                <w:ilvl w:val="0"/>
                <w:numId w:val="21"/>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在压力表和压力容器之间装设三通旋塞或者针形阀时，其位置、开启标记及其锁紧装置是否符合规定；</w:t>
            </w:r>
          </w:p>
          <w:p>
            <w:pPr>
              <w:pStyle w:val="10"/>
              <w:numPr>
                <w:ilvl w:val="0"/>
                <w:numId w:val="21"/>
              </w:numPr>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同一系统上各压力表的读数是否一致。</w:t>
            </w:r>
          </w:p>
        </w:tc>
      </w:tr>
    </w:tbl>
    <w:p>
      <w:pPr>
        <w:snapToGrid w:val="0"/>
        <w:rPr>
          <w:rFonts w:ascii="Times New Roman" w:hAnsi="Times New Roman" w:eastAsia="宋体" w:cs="Times New Roman"/>
          <w:color w:val="auto"/>
          <w:sz w:val="18"/>
          <w:szCs w:val="18"/>
        </w:rPr>
      </w:pPr>
    </w:p>
    <w:tbl>
      <w:tblPr>
        <w:tblStyle w:val="8"/>
        <w:tblW w:w="1500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785"/>
        <w:gridCol w:w="709"/>
        <w:gridCol w:w="851"/>
        <w:gridCol w:w="1134"/>
        <w:gridCol w:w="850"/>
        <w:gridCol w:w="106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70" w:hRule="exact"/>
          <w:jc w:val="center"/>
        </w:trPr>
        <w:tc>
          <w:tcPr>
            <w:tcW w:w="785" w:type="dxa"/>
            <w:vMerge w:val="restart"/>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排查内容</w:t>
            </w:r>
          </w:p>
        </w:tc>
        <w:tc>
          <w:tcPr>
            <w:tcW w:w="709" w:type="dxa"/>
            <w:vMerge w:val="restart"/>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排查人</w:t>
            </w:r>
          </w:p>
        </w:tc>
        <w:tc>
          <w:tcPr>
            <w:tcW w:w="851" w:type="dxa"/>
            <w:vMerge w:val="restart"/>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rPr>
              <w:t>排查</w:t>
            </w:r>
          </w:p>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时间</w:t>
            </w:r>
          </w:p>
        </w:tc>
        <w:tc>
          <w:tcPr>
            <w:tcW w:w="1984" w:type="dxa"/>
            <w:gridSpan w:val="2"/>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排查依据</w:t>
            </w:r>
          </w:p>
        </w:tc>
        <w:tc>
          <w:tcPr>
            <w:tcW w:w="10679" w:type="dxa"/>
            <w:vMerge w:val="restart"/>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排查要求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33" w:hRule="exact"/>
          <w:jc w:val="center"/>
        </w:trPr>
        <w:tc>
          <w:tcPr>
            <w:tcW w:w="785" w:type="dxa"/>
            <w:vMerge w:val="continue"/>
            <w:shd w:val="clear" w:color="auto" w:fill="FFFFFF"/>
            <w:noWrap w:val="0"/>
            <w:vAlign w:val="center"/>
          </w:tcPr>
          <w:p>
            <w:pPr>
              <w:snapToGrid w:val="0"/>
              <w:rPr>
                <w:rFonts w:ascii="Times New Roman" w:hAnsi="Times New Roman" w:cs="Times New Roman"/>
                <w:color w:val="auto"/>
                <w:sz w:val="18"/>
                <w:szCs w:val="18"/>
              </w:rPr>
            </w:pPr>
          </w:p>
        </w:tc>
        <w:tc>
          <w:tcPr>
            <w:tcW w:w="709" w:type="dxa"/>
            <w:vMerge w:val="continue"/>
            <w:shd w:val="clear" w:color="auto" w:fill="FFFFFF"/>
            <w:noWrap w:val="0"/>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0"/>
            <w:vAlign w:val="center"/>
          </w:tcPr>
          <w:p>
            <w:pPr>
              <w:snapToGrid w:val="0"/>
              <w:rPr>
                <w:rFonts w:ascii="Times New Roman" w:hAnsi="Times New Roman" w:cs="Times New Roman"/>
                <w:color w:val="auto"/>
                <w:sz w:val="18"/>
                <w:szCs w:val="18"/>
              </w:rPr>
            </w:pPr>
          </w:p>
        </w:tc>
        <w:tc>
          <w:tcPr>
            <w:tcW w:w="1134" w:type="dxa"/>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法规标准</w:t>
            </w:r>
          </w:p>
        </w:tc>
        <w:tc>
          <w:tcPr>
            <w:tcW w:w="850" w:type="dxa"/>
            <w:shd w:val="clear" w:color="auto" w:fill="FFFFFF"/>
            <w:noWrap w:val="0"/>
            <w:vAlign w:val="center"/>
          </w:tcPr>
          <w:p>
            <w:pPr>
              <w:pStyle w:val="10"/>
              <w:snapToGrid w:val="0"/>
              <w:spacing w:line="240" w:lineRule="auto"/>
              <w:jc w:val="center"/>
              <w:rPr>
                <w:rFonts w:ascii="Times New Roman" w:hAnsi="黑体" w:eastAsia="黑体" w:cs="Times New Roman"/>
                <w:b/>
                <w:bCs w:val="0"/>
                <w:color w:val="auto"/>
                <w:sz w:val="18"/>
                <w:szCs w:val="18"/>
              </w:rPr>
            </w:pPr>
            <w:r>
              <w:rPr>
                <w:rFonts w:ascii="Times New Roman" w:hAnsi="黑体" w:eastAsia="黑体" w:cs="Times New Roman"/>
                <w:b/>
                <w:bCs w:val="0"/>
                <w:color w:val="auto"/>
                <w:sz w:val="18"/>
                <w:szCs w:val="18"/>
              </w:rPr>
              <w:t>适用条款</w:t>
            </w:r>
          </w:p>
        </w:tc>
        <w:tc>
          <w:tcPr>
            <w:tcW w:w="10679" w:type="dxa"/>
            <w:vMerge w:val="continue"/>
            <w:shd w:val="clear" w:color="auto" w:fill="FFFFFF"/>
            <w:noWrap w:val="0"/>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872" w:hRule="atLeast"/>
          <w:jc w:val="center"/>
        </w:trPr>
        <w:tc>
          <w:tcPr>
            <w:tcW w:w="785" w:type="dxa"/>
            <w:vMerge w:val="restart"/>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年度检查</w:t>
            </w:r>
          </w:p>
        </w:tc>
        <w:tc>
          <w:tcPr>
            <w:tcW w:w="709" w:type="dxa"/>
            <w:vMerge w:val="restart"/>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容器作业人员或有资格的检验人员</w:t>
            </w:r>
          </w:p>
        </w:tc>
        <w:tc>
          <w:tcPr>
            <w:tcW w:w="851" w:type="dxa"/>
            <w:vMerge w:val="restart"/>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每年</w:t>
            </w:r>
          </w:p>
        </w:tc>
        <w:tc>
          <w:tcPr>
            <w:tcW w:w="1134" w:type="dxa"/>
            <w:vMerge w:val="restart"/>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固定式压力容器安全技术监察规程 </w:t>
            </w:r>
            <w:r>
              <w:rPr>
                <w:rFonts w:ascii="Times New Roman" w:hAnsi="Times New Roman" w:cs="Times New Roman"/>
                <w:color w:val="auto"/>
                <w:sz w:val="18"/>
                <w:szCs w:val="18"/>
                <w:lang w:val="en-US" w:eastAsia="zh-CN" w:bidi="en-US"/>
              </w:rPr>
              <w:t>(TSG 21-2016)</w:t>
            </w:r>
          </w:p>
        </w:tc>
        <w:tc>
          <w:tcPr>
            <w:tcW w:w="850" w:type="dxa"/>
            <w:shd w:val="clear" w:color="auto" w:fill="FFFFFF"/>
            <w:noWrap w:val="0"/>
            <w:vAlign w:val="center"/>
          </w:tcPr>
          <w:p>
            <w:pPr>
              <w:pStyle w:val="10"/>
              <w:snapToGrid w:val="0"/>
              <w:jc w:val="center"/>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en-US" w:bidi="en-US"/>
              </w:rPr>
              <w:t>7.2.3.</w:t>
            </w:r>
            <w:r>
              <w:rPr>
                <w:rFonts w:ascii="Times New Roman" w:hAnsi="Times New Roman" w:eastAsia="Times New Roman" w:cs="Times New Roman"/>
                <w:color w:val="auto"/>
                <w:sz w:val="18"/>
                <w:szCs w:val="18"/>
              </w:rPr>
              <w:t>4</w:t>
            </w:r>
          </w:p>
        </w:tc>
        <w:tc>
          <w:tcPr>
            <w:tcW w:w="10679" w:type="dxa"/>
            <w:shd w:val="clear" w:color="auto" w:fill="FFFFFF"/>
            <w:noWrap w:val="0"/>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检查结果处理</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压力表检查时，发现以下情况之一的，使用单位应当限期改正并且采取有效措施确保改正期间的安全运行，否则应当停止该压力容器使用：</w:t>
            </w:r>
          </w:p>
          <w:p>
            <w:pPr>
              <w:pStyle w:val="10"/>
              <w:numPr>
                <w:ilvl w:val="0"/>
                <w:numId w:val="22"/>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选型错误的；</w:t>
            </w:r>
          </w:p>
          <w:p>
            <w:pPr>
              <w:pStyle w:val="10"/>
              <w:numPr>
                <w:ilvl w:val="0"/>
                <w:numId w:val="2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表盘封面玻璃破裂或者表盘刻度模糊不清的；</w:t>
            </w:r>
          </w:p>
          <w:p>
            <w:pPr>
              <w:pStyle w:val="10"/>
              <w:numPr>
                <w:ilvl w:val="0"/>
                <w:numId w:val="2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封签损坏或者超过检定有效期限的；</w:t>
            </w:r>
          </w:p>
          <w:p>
            <w:pPr>
              <w:pStyle w:val="10"/>
              <w:numPr>
                <w:ilvl w:val="0"/>
                <w:numId w:val="2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表内弹簧管泄漏或者压力表指针松动的；</w:t>
            </w:r>
          </w:p>
          <w:p>
            <w:pPr>
              <w:pStyle w:val="10"/>
              <w:numPr>
                <w:ilvl w:val="0"/>
                <w:numId w:val="2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指针扭曲断裂或者外壳腐蚀严重的；</w:t>
            </w:r>
          </w:p>
          <w:p>
            <w:pPr>
              <w:pStyle w:val="10"/>
              <w:numPr>
                <w:ilvl w:val="0"/>
                <w:numId w:val="2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三通旋塞或者针形阀开启标记不清或者锁紧装置损坏的。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463" w:hRule="exact"/>
          <w:jc w:val="center"/>
        </w:trPr>
        <w:tc>
          <w:tcPr>
            <w:tcW w:w="785"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1134"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850"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7.2.3.5</w:t>
            </w:r>
          </w:p>
        </w:tc>
        <w:tc>
          <w:tcPr>
            <w:tcW w:w="10679" w:type="dxa"/>
            <w:shd w:val="clear" w:color="auto" w:fill="FFFFFF"/>
            <w:noWrap w:val="0"/>
            <w:vAlign w:val="top"/>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液位计：</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检查内容和要求</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液位计的检查至少包括以下内容：</w:t>
            </w:r>
          </w:p>
          <w:p>
            <w:pPr>
              <w:pStyle w:val="10"/>
              <w:numPr>
                <w:ilvl w:val="0"/>
                <w:numId w:val="23"/>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液位计的定期检修维护是否符合规定；</w:t>
            </w:r>
          </w:p>
          <w:p>
            <w:pPr>
              <w:pStyle w:val="10"/>
              <w:numPr>
                <w:ilvl w:val="0"/>
                <w:numId w:val="23"/>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液位计外观及其附件是否符合规定；</w:t>
            </w:r>
          </w:p>
          <w:p>
            <w:pPr>
              <w:pStyle w:val="10"/>
              <w:numPr>
                <w:ilvl w:val="0"/>
                <w:numId w:val="23"/>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寒冷地区室外使用或者盛装</w:t>
            </w:r>
            <w:r>
              <w:rPr>
                <w:rFonts w:ascii="Times New Roman" w:hAnsi="Times New Roman" w:eastAsia="Times New Roman" w:cs="Times New Roman"/>
                <w:color w:val="auto"/>
                <w:sz w:val="18"/>
                <w:szCs w:val="18"/>
              </w:rPr>
              <w:t xml:space="preserve">0 </w:t>
            </w:r>
            <w:r>
              <w:rPr>
                <w:rFonts w:ascii="Times New Roman" w:hAnsi="Times New Roman" w:eastAsia="Times New Roman" w:cs="Times New Roman"/>
                <w:color w:val="auto"/>
                <w:sz w:val="18"/>
                <w:szCs w:val="18"/>
                <w:lang w:val="en-US" w:eastAsia="zh-CN" w:bidi="en-US"/>
              </w:rPr>
              <w:t>°C</w:t>
            </w:r>
            <w:r>
              <w:rPr>
                <w:rFonts w:ascii="Times New Roman" w:hAnsi="Times New Roman" w:cs="Times New Roman"/>
                <w:color w:val="auto"/>
                <w:sz w:val="18"/>
                <w:szCs w:val="18"/>
              </w:rPr>
              <w:t>以下介质的液位计选型是否符合规定；</w:t>
            </w:r>
          </w:p>
          <w:p>
            <w:pPr>
              <w:pStyle w:val="10"/>
              <w:numPr>
                <w:ilvl w:val="0"/>
                <w:numId w:val="23"/>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介质为</w:t>
            </w:r>
            <w:r>
              <w:rPr>
                <w:rFonts w:ascii="Times New Roman" w:hAnsi="Times New Roman" w:cs="Times New Roman"/>
                <w:color w:val="auto"/>
                <w:sz w:val="18"/>
                <w:szCs w:val="18"/>
              </w:rPr>
              <w:t>易爆、毒性程度为极度或者高度危害介质的液化气体压力容器时，液位计的防止泄漏保护装置是否符合规定。</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检查结果处理</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液位计检查时，发现以下情况之一的，使用单位应当限期改正并且采取有效措施确保改正期间的安全，否则应当暂停该压力容器使用：</w:t>
            </w:r>
          </w:p>
          <w:p>
            <w:pPr>
              <w:pStyle w:val="10"/>
              <w:numPr>
                <w:ilvl w:val="0"/>
                <w:numId w:val="24"/>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选型错误的；</w:t>
            </w:r>
          </w:p>
          <w:p>
            <w:pPr>
              <w:pStyle w:val="10"/>
              <w:numPr>
                <w:ilvl w:val="0"/>
                <w:numId w:val="24"/>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超过规定的检修期限的；</w:t>
            </w:r>
          </w:p>
          <w:p>
            <w:pPr>
              <w:pStyle w:val="10"/>
              <w:numPr>
                <w:ilvl w:val="0"/>
                <w:numId w:val="24"/>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玻璃板(管)有裂纹、破碎的；</w:t>
            </w:r>
          </w:p>
          <w:p>
            <w:pPr>
              <w:pStyle w:val="10"/>
              <w:numPr>
                <w:ilvl w:val="0"/>
                <w:numId w:val="24"/>
              </w:numPr>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阀件固死的；</w:t>
            </w:r>
          </w:p>
          <w:p>
            <w:pPr>
              <w:pStyle w:val="10"/>
              <w:numPr>
                <w:ilvl w:val="0"/>
                <w:numId w:val="24"/>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液位指示错误的；</w:t>
            </w:r>
          </w:p>
          <w:p>
            <w:pPr>
              <w:pStyle w:val="10"/>
              <w:numPr>
                <w:ilvl w:val="0"/>
                <w:numId w:val="24"/>
              </w:numPr>
              <w:tabs>
                <w:tab w:val="left" w:pos="317"/>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液位计指示模糊不清的；</w:t>
            </w:r>
          </w:p>
          <w:p>
            <w:pPr>
              <w:pStyle w:val="10"/>
              <w:numPr>
                <w:ilvl w:val="0"/>
                <w:numId w:val="24"/>
              </w:numPr>
              <w:tabs>
                <w:tab w:val="left" w:pos="317"/>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防止泄漏的保护装置损坏的。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363" w:hRule="exact"/>
          <w:jc w:val="center"/>
        </w:trPr>
        <w:tc>
          <w:tcPr>
            <w:tcW w:w="785"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1134"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850"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7.2.3.6</w:t>
            </w:r>
          </w:p>
        </w:tc>
        <w:tc>
          <w:tcPr>
            <w:tcW w:w="10679" w:type="dxa"/>
            <w:shd w:val="clear" w:color="auto" w:fill="FFFFFF"/>
            <w:noWrap w:val="0"/>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测温仪表：</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检查内容和要求</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测温仪表的检查至少包括以下内容：</w:t>
            </w:r>
          </w:p>
          <w:p>
            <w:pPr>
              <w:pStyle w:val="10"/>
              <w:numPr>
                <w:ilvl w:val="0"/>
                <w:numId w:val="25"/>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测温仪表的定期校验和检修是否符合规定；</w:t>
            </w:r>
          </w:p>
          <w:p>
            <w:pPr>
              <w:pStyle w:val="10"/>
              <w:numPr>
                <w:ilvl w:val="0"/>
                <w:numId w:val="25"/>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测温仪表的量程与其检测的温度范围是否匹配；</w:t>
            </w:r>
          </w:p>
          <w:p>
            <w:pPr>
              <w:pStyle w:val="10"/>
              <w:numPr>
                <w:ilvl w:val="0"/>
                <w:numId w:val="25"/>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测温仪表及其二次仪表的外观是否符合规定。</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检查结果处理</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测温仪表检查时，凡发现以下情况之一的，使用单位应当限期改正并且采取有效措施确保改正期间的安全，否则</w:t>
            </w:r>
            <w:r>
              <w:rPr>
                <w:rFonts w:ascii="Times New Roman" w:hAnsi="Times New Roman" w:cs="Times New Roman"/>
                <w:color w:val="auto"/>
                <w:sz w:val="18"/>
                <w:szCs w:val="18"/>
                <w:lang w:eastAsia="zh-CN"/>
              </w:rPr>
              <w:t>停止</w:t>
            </w:r>
            <w:r>
              <w:rPr>
                <w:rFonts w:ascii="Times New Roman" w:hAnsi="Times New Roman" w:cs="Times New Roman"/>
                <w:color w:val="auto"/>
                <w:sz w:val="18"/>
                <w:szCs w:val="18"/>
              </w:rPr>
              <w:t>该压力容器使用：</w:t>
            </w:r>
          </w:p>
          <w:p>
            <w:pPr>
              <w:pStyle w:val="10"/>
              <w:numPr>
                <w:ilvl w:val="0"/>
                <w:numId w:val="26"/>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仪表量程选择错误的；</w:t>
            </w:r>
          </w:p>
          <w:p>
            <w:pPr>
              <w:pStyle w:val="10"/>
              <w:numPr>
                <w:ilvl w:val="0"/>
                <w:numId w:val="26"/>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超过规定校验、检修期限的；</w:t>
            </w:r>
          </w:p>
          <w:p>
            <w:pPr>
              <w:pStyle w:val="10"/>
              <w:numPr>
                <w:ilvl w:val="0"/>
                <w:numId w:val="26"/>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仪表及其防护装置破损的。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839" w:hRule="exact"/>
          <w:jc w:val="center"/>
        </w:trPr>
        <w:tc>
          <w:tcPr>
            <w:tcW w:w="785"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定期检验</w:t>
            </w:r>
          </w:p>
        </w:tc>
        <w:tc>
          <w:tcPr>
            <w:tcW w:w="709"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有资格的检验人员</w:t>
            </w:r>
          </w:p>
        </w:tc>
        <w:tc>
          <w:tcPr>
            <w:tcW w:w="851" w:type="dxa"/>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按</w:t>
            </w:r>
            <w:r>
              <w:rPr>
                <w:rFonts w:ascii="Times New Roman" w:hAnsi="Times New Roman" w:cs="Times New Roman"/>
                <w:color w:val="auto"/>
                <w:sz w:val="18"/>
                <w:szCs w:val="18"/>
                <w:lang w:val="zh-CN" w:eastAsia="zh-CN" w:bidi="zh-CN"/>
              </w:rPr>
              <w:t>“上次</w:t>
            </w:r>
            <w:r>
              <w:rPr>
                <w:rFonts w:ascii="Times New Roman" w:hAnsi="Times New Roman" w:cs="Times New Roman"/>
                <w:color w:val="auto"/>
                <w:sz w:val="18"/>
                <w:szCs w:val="18"/>
              </w:rPr>
              <w:t>检验</w:t>
            </w:r>
            <w:r>
              <w:rPr>
                <w:rFonts w:ascii="Times New Roman" w:hAnsi="Times New Roman" w:cs="Times New Roman"/>
                <w:color w:val="auto"/>
                <w:sz w:val="18"/>
                <w:szCs w:val="18"/>
                <w:lang w:val="zh-CN" w:eastAsia="zh-CN" w:bidi="zh-CN"/>
              </w:rPr>
              <w:t>报告”</w:t>
            </w:r>
          </w:p>
        </w:tc>
        <w:tc>
          <w:tcPr>
            <w:tcW w:w="1134" w:type="dxa"/>
            <w:vMerge w:val="continue"/>
            <w:shd w:val="clear" w:color="auto" w:fill="FFFFFF"/>
            <w:noWrap w:val="0"/>
            <w:vAlign w:val="center"/>
          </w:tcPr>
          <w:p>
            <w:pPr>
              <w:pStyle w:val="10"/>
              <w:snapToGrid w:val="0"/>
              <w:spacing w:line="240" w:lineRule="auto"/>
              <w:jc w:val="center"/>
              <w:rPr>
                <w:rFonts w:ascii="Times New Roman" w:hAnsi="Times New Roman" w:cs="Times New Roman"/>
                <w:color w:val="auto"/>
                <w:sz w:val="18"/>
                <w:szCs w:val="18"/>
              </w:rPr>
            </w:pPr>
          </w:p>
        </w:tc>
        <w:tc>
          <w:tcPr>
            <w:tcW w:w="850" w:type="dxa"/>
            <w:shd w:val="clear" w:color="auto" w:fill="FFFFFF"/>
            <w:noWrap w:val="0"/>
            <w:vAlign w:val="center"/>
          </w:tcPr>
          <w:p>
            <w:pPr>
              <w:pStyle w:val="10"/>
              <w:snapToGrid w:val="0"/>
              <w:spacing w:line="240" w:lineRule="auto"/>
              <w:jc w:val="center"/>
              <w:rPr>
                <w:rFonts w:ascii="Times New Roman" w:hAnsi="Times New Roman" w:eastAsia="宋体" w:cs="Times New Roman"/>
                <w:color w:val="auto"/>
                <w:sz w:val="18"/>
                <w:szCs w:val="18"/>
                <w:lang w:eastAsia="zh-CN"/>
              </w:rPr>
            </w:pPr>
            <w:r>
              <w:rPr>
                <w:rFonts w:ascii="Times New Roman" w:hAnsi="Times New Roman" w:eastAsia="Times New Roman" w:cs="Times New Roman"/>
                <w:color w:val="auto"/>
                <w:sz w:val="18"/>
                <w:szCs w:val="18"/>
                <w:lang w:val="en-US" w:eastAsia="en-US" w:bidi="en-US"/>
              </w:rPr>
              <w:t>8.1</w:t>
            </w:r>
            <w:r>
              <w:rPr>
                <w:rFonts w:ascii="Times New Roman" w:hAnsi="Times New Roman" w:eastAsia="宋体" w:cs="Times New Roman"/>
                <w:color w:val="auto"/>
                <w:sz w:val="18"/>
                <w:szCs w:val="18"/>
                <w:lang w:val="en-US" w:eastAsia="zh-CN" w:bidi="en-US"/>
              </w:rPr>
              <w:t>.4</w:t>
            </w:r>
          </w:p>
        </w:tc>
        <w:tc>
          <w:tcPr>
            <w:tcW w:w="10679" w:type="dxa"/>
            <w:shd w:val="clear" w:color="auto" w:fill="FFFFFF"/>
            <w:noWrap w:val="0"/>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使用单位应当在压力容器定期检验有效期届满</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个月</w:t>
            </w:r>
            <w:r>
              <w:rPr>
                <w:rFonts w:ascii="Times New Roman" w:hAnsi="Times New Roman" w:cs="Times New Roman"/>
                <w:color w:val="auto"/>
                <w:sz w:val="18"/>
                <w:szCs w:val="18"/>
                <w:lang w:eastAsia="zh-CN"/>
              </w:rPr>
              <w:t>以</w:t>
            </w:r>
            <w:r>
              <w:rPr>
                <w:rFonts w:ascii="Times New Roman" w:hAnsi="Times New Roman" w:cs="Times New Roman"/>
                <w:color w:val="auto"/>
                <w:sz w:val="18"/>
                <w:szCs w:val="18"/>
              </w:rPr>
              <w:t>前，向特种设备检验机构提出定期检验申请，并且做好定期检验相关的准备工作。</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检验结论意见为符合要求或者基本符合要求时，使用单位应当将检验机构出具的检验标志粘贴在 《使用登记证》上，并且按照检验结论确定的参数使用压力容器。</w:t>
            </w:r>
          </w:p>
        </w:tc>
      </w:tr>
    </w:tbl>
    <w:p>
      <w:pPr>
        <w:snapToGrid w:val="0"/>
        <w:rPr>
          <w:rFonts w:ascii="Times New Roman" w:hAnsi="Times New Roman" w:eastAsia="宋体" w:cs="Times New Roman"/>
          <w:color w:val="auto"/>
          <w:sz w:val="18"/>
          <w:szCs w:val="18"/>
        </w:rPr>
      </w:pPr>
    </w:p>
    <w:p>
      <w:pPr>
        <w:snapToGrid w:val="0"/>
        <w:spacing w:afterLines="50"/>
        <w:jc w:val="center"/>
        <w:rPr>
          <w:rFonts w:ascii="Times New Roman" w:hAnsi="Times New Roman" w:eastAsia="宋体" w:cs="Times New Roman"/>
          <w:color w:val="auto"/>
          <w:sz w:val="18"/>
          <w:szCs w:val="18"/>
        </w:rPr>
        <w:sectPr>
          <w:headerReference r:id="rId12" w:type="default"/>
          <w:headerReference r:id="rId13" w:type="even"/>
          <w:pgSz w:w="16840" w:h="11900" w:orient="landscape"/>
          <w:pgMar w:top="1134" w:right="1134" w:bottom="1134" w:left="1134" w:header="851" w:footer="851" w:gutter="0"/>
          <w:pgNumType w:fmt="numberInDash"/>
          <w:cols w:space="720" w:num="1"/>
          <w:docGrid w:linePitch="360" w:charSpace="0"/>
        </w:sectPr>
      </w:pPr>
    </w:p>
    <w:p>
      <w:pPr>
        <w:pStyle w:val="9"/>
        <w:snapToGrid w:val="0"/>
        <w:spacing w:beforeLines="50" w:afterLines="50" w:line="240" w:lineRule="auto"/>
        <w:jc w:val="center"/>
        <w:rPr>
          <w:rFonts w:ascii="Times New Roman" w:hAnsi="Times New Roman" w:eastAsia="黑体" w:cs="Times New Roman"/>
          <w:b/>
          <w:color w:val="auto"/>
          <w:sz w:val="21"/>
          <w:szCs w:val="21"/>
          <w:lang w:eastAsia="zh-CN"/>
        </w:rPr>
      </w:pPr>
    </w:p>
    <w:p>
      <w:pPr>
        <w:pStyle w:val="9"/>
        <w:snapToGrid w:val="0"/>
        <w:spacing w:beforeLines="50" w:afterLines="50" w:line="240" w:lineRule="auto"/>
        <w:jc w:val="center"/>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lang w:eastAsia="zh-CN"/>
        </w:rPr>
        <w:t>附表1  固定式压力容器经常性维护保养(月度检查)记录表格式</w:t>
      </w:r>
    </w:p>
    <w:tbl>
      <w:tblPr>
        <w:tblStyle w:val="8"/>
        <w:tblW w:w="956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383"/>
        <w:gridCol w:w="3685"/>
        <w:gridCol w:w="1276"/>
        <w:gridCol w:w="32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1383" w:type="dxa"/>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21"/>
                <w:szCs w:val="21"/>
                <w:lang w:eastAsia="zh-CN"/>
              </w:rPr>
            </w:pPr>
            <w:r>
              <w:rPr>
                <w:rFonts w:ascii="Times New Roman" w:hAnsi="Times New Roman" w:eastAsia="黑体" w:cs="Times New Roman"/>
                <w:b w:val="0"/>
                <w:bCs/>
                <w:color w:val="auto"/>
                <w:sz w:val="21"/>
                <w:szCs w:val="21"/>
              </w:rPr>
              <w:t>使用</w:t>
            </w:r>
            <w:r>
              <w:rPr>
                <w:rFonts w:ascii="Times New Roman" w:hAnsi="Times New Roman" w:eastAsia="黑体" w:cs="Times New Roman"/>
                <w:b w:val="0"/>
                <w:bCs/>
                <w:color w:val="auto"/>
                <w:sz w:val="21"/>
                <w:szCs w:val="21"/>
                <w:lang w:eastAsia="zh-CN"/>
              </w:rPr>
              <w:t>证号</w:t>
            </w:r>
          </w:p>
        </w:tc>
        <w:tc>
          <w:tcPr>
            <w:tcW w:w="8178" w:type="dxa"/>
            <w:gridSpan w:val="3"/>
            <w:shd w:val="clear" w:color="auto" w:fill="FFFFFF"/>
            <w:noWrap/>
            <w:vAlign w:val="center"/>
          </w:tcPr>
          <w:p>
            <w:pPr>
              <w:snapToGrid w:val="0"/>
              <w:jc w:val="center"/>
              <w:rPr>
                <w:rFonts w:ascii="Times New Roman" w:hAnsi="Times New Roman" w:eastAsia="黑体" w:cs="Times New Roman"/>
                <w:b w:val="0"/>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1383" w:type="dxa"/>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21"/>
                <w:szCs w:val="21"/>
                <w:lang w:eastAsia="zh-CN"/>
              </w:rPr>
            </w:pPr>
            <w:r>
              <w:rPr>
                <w:rFonts w:ascii="Times New Roman" w:hAnsi="Times New Roman" w:eastAsia="黑体" w:cs="Times New Roman"/>
                <w:b w:val="0"/>
                <w:bCs/>
                <w:color w:val="auto"/>
                <w:sz w:val="21"/>
                <w:szCs w:val="21"/>
                <w:lang w:eastAsia="zh-CN"/>
              </w:rPr>
              <w:t>设备位号</w:t>
            </w:r>
          </w:p>
        </w:tc>
        <w:tc>
          <w:tcPr>
            <w:tcW w:w="8178" w:type="dxa"/>
            <w:gridSpan w:val="3"/>
            <w:shd w:val="clear" w:color="auto" w:fill="FFFFFF"/>
            <w:noWrap/>
            <w:vAlign w:val="center"/>
          </w:tcPr>
          <w:p>
            <w:pPr>
              <w:snapToGrid w:val="0"/>
              <w:jc w:val="center"/>
              <w:rPr>
                <w:rFonts w:ascii="Times New Roman" w:hAnsi="Times New Roman" w:eastAsia="黑体" w:cs="Times New Roman"/>
                <w:b w:val="0"/>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1383" w:type="dxa"/>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21"/>
                <w:szCs w:val="21"/>
              </w:rPr>
            </w:pPr>
            <w:r>
              <w:rPr>
                <w:rFonts w:ascii="Times New Roman" w:hAnsi="Times New Roman" w:eastAsia="黑体" w:cs="Times New Roman"/>
                <w:b w:val="0"/>
                <w:bCs/>
                <w:color w:val="auto"/>
                <w:sz w:val="21"/>
                <w:szCs w:val="21"/>
              </w:rPr>
              <w:t>检查项目</w:t>
            </w:r>
          </w:p>
        </w:tc>
        <w:tc>
          <w:tcPr>
            <w:tcW w:w="3685" w:type="dxa"/>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21"/>
                <w:szCs w:val="21"/>
              </w:rPr>
            </w:pPr>
            <w:r>
              <w:rPr>
                <w:rFonts w:ascii="Times New Roman" w:hAnsi="Times New Roman" w:eastAsia="黑体" w:cs="Times New Roman"/>
                <w:b w:val="0"/>
                <w:bCs/>
                <w:color w:val="auto"/>
                <w:sz w:val="21"/>
                <w:szCs w:val="21"/>
              </w:rPr>
              <w:t>检查内容</w:t>
            </w:r>
          </w:p>
        </w:tc>
        <w:tc>
          <w:tcPr>
            <w:tcW w:w="1276" w:type="dxa"/>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21"/>
                <w:szCs w:val="21"/>
              </w:rPr>
            </w:pPr>
            <w:r>
              <w:rPr>
                <w:rFonts w:ascii="Times New Roman" w:hAnsi="Times New Roman" w:eastAsia="黑体" w:cs="Times New Roman"/>
                <w:b w:val="0"/>
                <w:bCs/>
                <w:color w:val="auto"/>
                <w:sz w:val="21"/>
                <w:szCs w:val="21"/>
              </w:rPr>
              <w:t>检查结果</w:t>
            </w:r>
          </w:p>
        </w:tc>
        <w:tc>
          <w:tcPr>
            <w:tcW w:w="3217" w:type="dxa"/>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21"/>
                <w:szCs w:val="21"/>
              </w:rPr>
            </w:pPr>
            <w:r>
              <w:rPr>
                <w:rFonts w:ascii="Times New Roman" w:hAnsi="Times New Roman" w:eastAsia="黑体" w:cs="Times New Roman"/>
                <w:b w:val="0"/>
                <w:bCs/>
                <w:color w:val="auto"/>
                <w:sz w:val="21"/>
                <w:szCs w:val="21"/>
              </w:rPr>
              <w:t>问题记录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383"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en-US" w:bidi="en-US"/>
              </w:rPr>
            </w:pPr>
            <w:r>
              <w:rPr>
                <w:rFonts w:ascii="Times New Roman" w:hAnsi="Times New Roman" w:cs="Times New Roman"/>
                <w:color w:val="auto"/>
                <w:sz w:val="18"/>
                <w:szCs w:val="18"/>
                <w:lang w:eastAsia="zh-CN" w:bidi="ar-SA"/>
              </w:rPr>
              <w:t>设备本体</w:t>
            </w:r>
          </w:p>
        </w:tc>
        <w:tc>
          <w:tcPr>
            <w:tcW w:w="3685" w:type="dxa"/>
            <w:shd w:val="clear" w:color="auto" w:fill="FFFFFF"/>
            <w:noWrap/>
            <w:vAlign w:val="center"/>
          </w:tcPr>
          <w:p>
            <w:pPr>
              <w:widowControl/>
              <w:snapToGrid w:val="0"/>
              <w:rPr>
                <w:rFonts w:ascii="Times New Roman" w:hAnsi="Times New Roman" w:eastAsia="宋体" w:cs="Times New Roman"/>
                <w:color w:val="auto"/>
                <w:sz w:val="18"/>
                <w:szCs w:val="18"/>
                <w:lang w:val="zh-TW"/>
              </w:rPr>
            </w:pPr>
            <w:r>
              <w:rPr>
                <w:rFonts w:ascii="Times New Roman" w:hAnsi="Calibri" w:eastAsia="宋体" w:cs="Times New Roman"/>
                <w:color w:val="auto"/>
                <w:sz w:val="18"/>
                <w:szCs w:val="18"/>
                <w:lang w:val="zh-TW"/>
              </w:rPr>
              <w:t>漆色是否完好，有无脱落等</w:t>
            </w:r>
          </w:p>
        </w:tc>
        <w:tc>
          <w:tcPr>
            <w:tcW w:w="1276" w:type="dxa"/>
            <w:shd w:val="clear" w:color="auto" w:fill="FFFFFF"/>
            <w:noWrap/>
            <w:vAlign w:val="top"/>
          </w:tcPr>
          <w:p>
            <w:pPr>
              <w:snapToGrid w:val="0"/>
              <w:rPr>
                <w:rFonts w:ascii="Times New Roman" w:hAnsi="Times New Roman" w:cs="Times New Roman"/>
                <w:color w:val="auto"/>
                <w:sz w:val="18"/>
                <w:szCs w:val="18"/>
              </w:rPr>
            </w:pPr>
          </w:p>
        </w:tc>
        <w:tc>
          <w:tcPr>
            <w:tcW w:w="3217"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38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p>
        </w:tc>
        <w:tc>
          <w:tcPr>
            <w:tcW w:w="3685" w:type="dxa"/>
            <w:shd w:val="clear" w:color="auto" w:fill="FFFFFF"/>
            <w:noWrap/>
            <w:vAlign w:val="center"/>
          </w:tcPr>
          <w:p>
            <w:pPr>
              <w:widowControl/>
              <w:snapToGrid w:val="0"/>
              <w:rPr>
                <w:rFonts w:ascii="Times New Roman" w:hAnsi="Times New Roman" w:eastAsia="宋体" w:cs="Times New Roman"/>
                <w:color w:val="auto"/>
                <w:sz w:val="18"/>
                <w:szCs w:val="18"/>
                <w:lang w:val="zh-TW"/>
              </w:rPr>
            </w:pPr>
            <w:r>
              <w:rPr>
                <w:rFonts w:ascii="Times New Roman" w:hAnsi="Calibri" w:eastAsia="宋体" w:cs="Times New Roman"/>
                <w:color w:val="auto"/>
                <w:sz w:val="18"/>
                <w:szCs w:val="18"/>
                <w:lang w:val="zh-TW"/>
              </w:rPr>
              <w:t>设备保温层、真空绝热层是否完好</w:t>
            </w:r>
          </w:p>
        </w:tc>
        <w:tc>
          <w:tcPr>
            <w:tcW w:w="1276" w:type="dxa"/>
            <w:shd w:val="clear" w:color="auto" w:fill="FFFFFF"/>
            <w:noWrap/>
            <w:vAlign w:val="top"/>
          </w:tcPr>
          <w:p>
            <w:pPr>
              <w:snapToGrid w:val="0"/>
              <w:rPr>
                <w:rFonts w:ascii="Times New Roman" w:hAnsi="Times New Roman" w:cs="Times New Roman"/>
                <w:color w:val="auto"/>
                <w:sz w:val="18"/>
                <w:szCs w:val="18"/>
              </w:rPr>
            </w:pPr>
          </w:p>
        </w:tc>
        <w:tc>
          <w:tcPr>
            <w:tcW w:w="3217"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38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p>
        </w:tc>
        <w:tc>
          <w:tcPr>
            <w:tcW w:w="3685" w:type="dxa"/>
            <w:shd w:val="clear" w:color="auto" w:fill="FFFFFF"/>
            <w:noWrap/>
            <w:vAlign w:val="center"/>
          </w:tcPr>
          <w:p>
            <w:pPr>
              <w:widowControl/>
              <w:snapToGrid w:val="0"/>
              <w:rPr>
                <w:rFonts w:ascii="Times New Roman" w:hAnsi="Times New Roman" w:eastAsia="宋体" w:cs="Times New Roman"/>
                <w:color w:val="auto"/>
                <w:sz w:val="18"/>
                <w:szCs w:val="18"/>
                <w:lang w:val="zh-TW"/>
              </w:rPr>
            </w:pPr>
            <w:r>
              <w:rPr>
                <w:rFonts w:ascii="Times New Roman" w:hAnsi="Calibri" w:eastAsia="宋体" w:cs="Times New Roman"/>
                <w:color w:val="auto"/>
                <w:sz w:val="18"/>
                <w:szCs w:val="18"/>
                <w:lang w:val="zh-TW"/>
              </w:rPr>
              <w:t>设备外部的标志是否清晰</w:t>
            </w:r>
          </w:p>
        </w:tc>
        <w:tc>
          <w:tcPr>
            <w:tcW w:w="1276" w:type="dxa"/>
            <w:shd w:val="clear" w:color="auto" w:fill="FFFFFF"/>
            <w:noWrap/>
            <w:vAlign w:val="top"/>
          </w:tcPr>
          <w:p>
            <w:pPr>
              <w:snapToGrid w:val="0"/>
              <w:rPr>
                <w:rFonts w:ascii="Times New Roman" w:hAnsi="Times New Roman" w:cs="Times New Roman"/>
                <w:color w:val="auto"/>
                <w:sz w:val="18"/>
                <w:szCs w:val="18"/>
              </w:rPr>
            </w:pPr>
          </w:p>
        </w:tc>
        <w:tc>
          <w:tcPr>
            <w:tcW w:w="3217"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38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p>
        </w:tc>
        <w:tc>
          <w:tcPr>
            <w:tcW w:w="3685" w:type="dxa"/>
            <w:shd w:val="clear" w:color="auto" w:fill="FFFFFF"/>
            <w:noWrap/>
            <w:vAlign w:val="center"/>
          </w:tcPr>
          <w:p>
            <w:pPr>
              <w:widowControl/>
              <w:snapToGrid w:val="0"/>
              <w:rPr>
                <w:rFonts w:ascii="Times New Roman" w:hAnsi="Times New Roman" w:eastAsia="宋体" w:cs="Times New Roman"/>
                <w:color w:val="auto"/>
                <w:sz w:val="18"/>
                <w:szCs w:val="18"/>
                <w:lang w:val="zh-TW"/>
              </w:rPr>
            </w:pPr>
            <w:r>
              <w:rPr>
                <w:rFonts w:ascii="Times New Roman" w:hAnsi="Calibri" w:eastAsia="宋体" w:cs="Times New Roman"/>
                <w:color w:val="auto"/>
                <w:sz w:val="18"/>
                <w:szCs w:val="18"/>
                <w:lang w:val="zh-TW"/>
              </w:rPr>
              <w:t>设备各连接部位密封性检查</w:t>
            </w:r>
          </w:p>
        </w:tc>
        <w:tc>
          <w:tcPr>
            <w:tcW w:w="1276" w:type="dxa"/>
            <w:shd w:val="clear" w:color="auto" w:fill="FFFFFF"/>
            <w:noWrap/>
            <w:vAlign w:val="top"/>
          </w:tcPr>
          <w:p>
            <w:pPr>
              <w:snapToGrid w:val="0"/>
              <w:rPr>
                <w:rFonts w:ascii="Times New Roman" w:hAnsi="Times New Roman" w:cs="Times New Roman"/>
                <w:color w:val="auto"/>
                <w:sz w:val="18"/>
                <w:szCs w:val="18"/>
              </w:rPr>
            </w:pPr>
          </w:p>
        </w:tc>
        <w:tc>
          <w:tcPr>
            <w:tcW w:w="3217"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38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p>
        </w:tc>
        <w:tc>
          <w:tcPr>
            <w:tcW w:w="3685" w:type="dxa"/>
            <w:shd w:val="clear" w:color="auto" w:fill="FFFFFF"/>
            <w:noWrap/>
            <w:vAlign w:val="center"/>
          </w:tcPr>
          <w:p>
            <w:pPr>
              <w:widowControl/>
              <w:snapToGrid w:val="0"/>
              <w:rPr>
                <w:rFonts w:ascii="Times New Roman" w:hAnsi="Times New Roman" w:eastAsia="宋体" w:cs="Times New Roman"/>
                <w:color w:val="auto"/>
                <w:sz w:val="18"/>
                <w:szCs w:val="18"/>
                <w:lang w:val="zh-TW"/>
              </w:rPr>
            </w:pPr>
            <w:r>
              <w:rPr>
                <w:rFonts w:ascii="Times New Roman" w:hAnsi="Calibri" w:eastAsia="宋体" w:cs="Times New Roman"/>
                <w:color w:val="auto"/>
                <w:sz w:val="18"/>
                <w:szCs w:val="18"/>
                <w:lang w:val="zh-TW"/>
              </w:rPr>
              <w:t>有无异常振动</w:t>
            </w:r>
          </w:p>
        </w:tc>
        <w:tc>
          <w:tcPr>
            <w:tcW w:w="1276" w:type="dxa"/>
            <w:shd w:val="clear" w:color="auto" w:fill="FFFFFF"/>
            <w:noWrap/>
            <w:vAlign w:val="top"/>
          </w:tcPr>
          <w:p>
            <w:pPr>
              <w:snapToGrid w:val="0"/>
              <w:rPr>
                <w:rFonts w:ascii="Times New Roman" w:hAnsi="Times New Roman" w:cs="Times New Roman"/>
                <w:color w:val="auto"/>
                <w:sz w:val="18"/>
                <w:szCs w:val="18"/>
              </w:rPr>
            </w:pPr>
          </w:p>
        </w:tc>
        <w:tc>
          <w:tcPr>
            <w:tcW w:w="3217"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38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en-US" w:bidi="en-US"/>
              </w:rPr>
            </w:pPr>
          </w:p>
        </w:tc>
        <w:tc>
          <w:tcPr>
            <w:tcW w:w="3685" w:type="dxa"/>
            <w:shd w:val="clear" w:color="auto" w:fill="FFFFFF"/>
            <w:noWrap/>
            <w:vAlign w:val="center"/>
          </w:tcPr>
          <w:p>
            <w:pPr>
              <w:widowControl/>
              <w:snapToGrid w:val="0"/>
              <w:rPr>
                <w:rFonts w:ascii="Times New Roman" w:hAnsi="Times New Roman" w:eastAsia="宋体" w:cs="Times New Roman"/>
                <w:color w:val="auto"/>
                <w:sz w:val="18"/>
                <w:szCs w:val="18"/>
                <w:lang w:val="zh-TW"/>
              </w:rPr>
            </w:pPr>
            <w:r>
              <w:rPr>
                <w:rFonts w:ascii="Times New Roman" w:hAnsi="Calibri" w:eastAsia="宋体" w:cs="Times New Roman"/>
                <w:color w:val="auto"/>
                <w:sz w:val="18"/>
                <w:szCs w:val="18"/>
                <w:lang w:val="zh-TW"/>
              </w:rPr>
              <w:t>设备运行过程有无异常声音</w:t>
            </w:r>
          </w:p>
        </w:tc>
        <w:tc>
          <w:tcPr>
            <w:tcW w:w="1276" w:type="dxa"/>
            <w:shd w:val="clear" w:color="auto" w:fill="FFFFFF"/>
            <w:noWrap/>
            <w:vAlign w:val="top"/>
          </w:tcPr>
          <w:p>
            <w:pPr>
              <w:snapToGrid w:val="0"/>
              <w:rPr>
                <w:rFonts w:ascii="Times New Roman" w:hAnsi="Times New Roman" w:cs="Times New Roman"/>
                <w:color w:val="auto"/>
                <w:sz w:val="18"/>
                <w:szCs w:val="18"/>
              </w:rPr>
            </w:pPr>
          </w:p>
        </w:tc>
        <w:tc>
          <w:tcPr>
            <w:tcW w:w="3217"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383"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eastAsia="zh-CN" w:bidi="ar-SA"/>
              </w:rPr>
              <w:t>安全附件、装卸附件、安全保护装置、测量调控装置、附属仪器仪表</w:t>
            </w:r>
          </w:p>
        </w:tc>
        <w:tc>
          <w:tcPr>
            <w:tcW w:w="3685" w:type="dxa"/>
            <w:shd w:val="clear" w:color="auto" w:fill="FFFFFF"/>
            <w:noWrap/>
            <w:vAlign w:val="center"/>
          </w:tcPr>
          <w:p>
            <w:pPr>
              <w:widowControl/>
              <w:snapToGrid w:val="0"/>
              <w:rPr>
                <w:rFonts w:ascii="Times New Roman" w:hAnsi="Times New Roman" w:eastAsia="宋体" w:cs="Times New Roman"/>
                <w:color w:val="auto"/>
                <w:sz w:val="18"/>
                <w:szCs w:val="18"/>
                <w:lang w:val="zh-TW"/>
              </w:rPr>
            </w:pPr>
            <w:r>
              <w:rPr>
                <w:rFonts w:ascii="Times New Roman" w:hAnsi="Calibri" w:eastAsia="宋体" w:cs="Times New Roman"/>
                <w:color w:val="auto"/>
                <w:sz w:val="18"/>
                <w:szCs w:val="18"/>
                <w:lang w:val="zh-TW"/>
              </w:rPr>
              <w:t>各阀门启闭状态与规程要求一致</w:t>
            </w:r>
          </w:p>
        </w:tc>
        <w:tc>
          <w:tcPr>
            <w:tcW w:w="1276" w:type="dxa"/>
            <w:shd w:val="clear" w:color="auto" w:fill="FFFFFF"/>
            <w:noWrap/>
            <w:vAlign w:val="top"/>
          </w:tcPr>
          <w:p>
            <w:pPr>
              <w:snapToGrid w:val="0"/>
              <w:rPr>
                <w:rFonts w:ascii="Times New Roman" w:hAnsi="Times New Roman" w:cs="Times New Roman"/>
                <w:color w:val="auto"/>
                <w:sz w:val="18"/>
                <w:szCs w:val="18"/>
              </w:rPr>
            </w:pPr>
          </w:p>
        </w:tc>
        <w:tc>
          <w:tcPr>
            <w:tcW w:w="3217"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38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p>
        </w:tc>
        <w:tc>
          <w:tcPr>
            <w:tcW w:w="3685" w:type="dxa"/>
            <w:shd w:val="clear" w:color="auto" w:fill="FFFFFF"/>
            <w:noWrap/>
            <w:vAlign w:val="center"/>
          </w:tcPr>
          <w:p>
            <w:pPr>
              <w:widowControl/>
              <w:snapToGrid w:val="0"/>
              <w:rPr>
                <w:rFonts w:ascii="Times New Roman" w:hAnsi="Times New Roman" w:eastAsia="宋体" w:cs="Times New Roman"/>
                <w:color w:val="auto"/>
                <w:sz w:val="18"/>
                <w:szCs w:val="18"/>
                <w:lang w:val="zh-TW"/>
              </w:rPr>
            </w:pPr>
            <w:r>
              <w:rPr>
                <w:rFonts w:ascii="Times New Roman" w:hAnsi="Calibri" w:eastAsia="宋体" w:cs="Times New Roman"/>
                <w:color w:val="auto"/>
                <w:sz w:val="18"/>
                <w:szCs w:val="18"/>
                <w:lang w:val="zh-TW"/>
              </w:rPr>
              <w:t>安全附件是否完好、有效</w:t>
            </w:r>
          </w:p>
        </w:tc>
        <w:tc>
          <w:tcPr>
            <w:tcW w:w="1276" w:type="dxa"/>
            <w:shd w:val="clear" w:color="auto" w:fill="FFFFFF"/>
            <w:noWrap/>
            <w:vAlign w:val="top"/>
          </w:tcPr>
          <w:p>
            <w:pPr>
              <w:snapToGrid w:val="0"/>
              <w:rPr>
                <w:rFonts w:ascii="Times New Roman" w:hAnsi="Times New Roman" w:cs="Times New Roman"/>
                <w:color w:val="auto"/>
                <w:sz w:val="18"/>
                <w:szCs w:val="18"/>
              </w:rPr>
            </w:pPr>
          </w:p>
        </w:tc>
        <w:tc>
          <w:tcPr>
            <w:tcW w:w="3217"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38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en-US" w:bidi="en-US"/>
              </w:rPr>
            </w:pPr>
          </w:p>
        </w:tc>
        <w:tc>
          <w:tcPr>
            <w:tcW w:w="3685" w:type="dxa"/>
            <w:shd w:val="clear" w:color="auto" w:fill="FFFFFF"/>
            <w:noWrap/>
            <w:vAlign w:val="center"/>
          </w:tcPr>
          <w:p>
            <w:pPr>
              <w:widowControl/>
              <w:snapToGrid w:val="0"/>
              <w:rPr>
                <w:rFonts w:ascii="Times New Roman" w:hAnsi="Times New Roman" w:eastAsia="宋体" w:cs="Times New Roman"/>
                <w:color w:val="auto"/>
                <w:sz w:val="18"/>
                <w:szCs w:val="18"/>
                <w:lang w:val="zh-TW"/>
              </w:rPr>
            </w:pPr>
            <w:r>
              <w:rPr>
                <w:rFonts w:ascii="Times New Roman" w:hAnsi="Calibri" w:eastAsia="宋体" w:cs="Times New Roman"/>
                <w:color w:val="auto"/>
                <w:sz w:val="18"/>
                <w:szCs w:val="18"/>
                <w:lang w:val="zh-TW"/>
              </w:rPr>
              <w:t>装卸附件是否完好</w:t>
            </w:r>
          </w:p>
        </w:tc>
        <w:tc>
          <w:tcPr>
            <w:tcW w:w="1276" w:type="dxa"/>
            <w:shd w:val="clear" w:color="auto" w:fill="FFFFFF"/>
            <w:noWrap/>
            <w:vAlign w:val="top"/>
          </w:tcPr>
          <w:p>
            <w:pPr>
              <w:snapToGrid w:val="0"/>
              <w:rPr>
                <w:rFonts w:ascii="Times New Roman" w:hAnsi="Times New Roman" w:cs="Times New Roman"/>
                <w:color w:val="auto"/>
                <w:sz w:val="18"/>
                <w:szCs w:val="18"/>
              </w:rPr>
            </w:pPr>
          </w:p>
        </w:tc>
        <w:tc>
          <w:tcPr>
            <w:tcW w:w="3217"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38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en-US" w:bidi="en-US"/>
              </w:rPr>
            </w:pPr>
          </w:p>
        </w:tc>
        <w:tc>
          <w:tcPr>
            <w:tcW w:w="3685" w:type="dxa"/>
            <w:shd w:val="clear" w:color="auto" w:fill="FFFFFF"/>
            <w:noWrap/>
            <w:vAlign w:val="center"/>
          </w:tcPr>
          <w:p>
            <w:pPr>
              <w:widowControl/>
              <w:snapToGrid w:val="0"/>
              <w:rPr>
                <w:rFonts w:ascii="Times New Roman" w:hAnsi="Times New Roman" w:eastAsia="宋体" w:cs="Times New Roman"/>
                <w:color w:val="auto"/>
                <w:sz w:val="18"/>
                <w:szCs w:val="18"/>
                <w:lang w:val="zh-TW"/>
              </w:rPr>
            </w:pPr>
            <w:r>
              <w:rPr>
                <w:rFonts w:ascii="Times New Roman" w:hAnsi="Calibri" w:eastAsia="宋体" w:cs="Times New Roman"/>
                <w:color w:val="auto"/>
                <w:sz w:val="18"/>
                <w:szCs w:val="18"/>
                <w:lang w:val="zh-TW"/>
              </w:rPr>
              <w:t>紧固件的连接是否符合要求、是否有松动现象</w:t>
            </w:r>
          </w:p>
        </w:tc>
        <w:tc>
          <w:tcPr>
            <w:tcW w:w="1276" w:type="dxa"/>
            <w:shd w:val="clear" w:color="auto" w:fill="FFFFFF"/>
            <w:noWrap/>
            <w:vAlign w:val="top"/>
          </w:tcPr>
          <w:p>
            <w:pPr>
              <w:snapToGrid w:val="0"/>
              <w:rPr>
                <w:rFonts w:ascii="Times New Roman" w:hAnsi="Times New Roman" w:cs="Times New Roman"/>
                <w:color w:val="auto"/>
                <w:sz w:val="18"/>
                <w:szCs w:val="18"/>
              </w:rPr>
            </w:pPr>
          </w:p>
        </w:tc>
        <w:tc>
          <w:tcPr>
            <w:tcW w:w="3217"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38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p>
        </w:tc>
        <w:tc>
          <w:tcPr>
            <w:tcW w:w="3685" w:type="dxa"/>
            <w:shd w:val="clear" w:color="auto" w:fill="FFFFFF"/>
            <w:noWrap/>
            <w:vAlign w:val="center"/>
          </w:tcPr>
          <w:p>
            <w:pPr>
              <w:widowControl/>
              <w:snapToGrid w:val="0"/>
              <w:rPr>
                <w:rFonts w:ascii="Times New Roman" w:hAnsi="Times New Roman" w:eastAsia="宋体" w:cs="Times New Roman"/>
                <w:color w:val="auto"/>
                <w:sz w:val="18"/>
                <w:szCs w:val="18"/>
                <w:lang w:val="zh-TW"/>
              </w:rPr>
            </w:pPr>
            <w:r>
              <w:rPr>
                <w:rFonts w:ascii="Times New Roman" w:hAnsi="Calibri" w:eastAsia="宋体" w:cs="Times New Roman"/>
                <w:color w:val="auto"/>
                <w:sz w:val="18"/>
                <w:szCs w:val="18"/>
                <w:lang w:val="zh-TW"/>
              </w:rPr>
              <w:t>各装置连接部位密封性检查</w:t>
            </w:r>
          </w:p>
        </w:tc>
        <w:tc>
          <w:tcPr>
            <w:tcW w:w="1276" w:type="dxa"/>
            <w:shd w:val="clear" w:color="auto" w:fill="FFFFFF"/>
            <w:noWrap/>
            <w:vAlign w:val="top"/>
          </w:tcPr>
          <w:p>
            <w:pPr>
              <w:snapToGrid w:val="0"/>
              <w:rPr>
                <w:rFonts w:ascii="Times New Roman" w:hAnsi="Times New Roman" w:cs="Times New Roman"/>
                <w:color w:val="auto"/>
                <w:sz w:val="18"/>
                <w:szCs w:val="18"/>
              </w:rPr>
            </w:pPr>
          </w:p>
        </w:tc>
        <w:tc>
          <w:tcPr>
            <w:tcW w:w="3217"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383" w:type="dxa"/>
            <w:shd w:val="clear" w:color="auto" w:fill="FFFFFF"/>
            <w:noWrap/>
            <w:vAlign w:val="center"/>
          </w:tcPr>
          <w:p>
            <w:pPr>
              <w:widowControl/>
              <w:snapToGrid w:val="0"/>
              <w:rPr>
                <w:rFonts w:ascii="Times New Roman" w:hAnsi="Times New Roman" w:eastAsia="宋体" w:cs="Times New Roman"/>
                <w:color w:val="auto"/>
                <w:sz w:val="18"/>
                <w:szCs w:val="18"/>
                <w:lang w:val="zh-TW"/>
              </w:rPr>
            </w:pPr>
            <w:r>
              <w:rPr>
                <w:rFonts w:ascii="Times New Roman" w:hAnsi="Calibri" w:eastAsia="宋体" w:cs="Times New Roman"/>
                <w:color w:val="auto"/>
                <w:sz w:val="18"/>
                <w:szCs w:val="18"/>
                <w:lang w:val="zh-TW"/>
              </w:rPr>
              <w:t>工艺参数</w:t>
            </w:r>
          </w:p>
        </w:tc>
        <w:tc>
          <w:tcPr>
            <w:tcW w:w="3685" w:type="dxa"/>
            <w:shd w:val="clear" w:color="auto" w:fill="FFFFFF"/>
            <w:noWrap/>
            <w:vAlign w:val="center"/>
          </w:tcPr>
          <w:p>
            <w:pPr>
              <w:widowControl/>
              <w:snapToGrid w:val="0"/>
              <w:rPr>
                <w:rFonts w:ascii="Times New Roman" w:hAnsi="Times New Roman" w:eastAsia="宋体" w:cs="Times New Roman"/>
                <w:color w:val="auto"/>
                <w:sz w:val="18"/>
                <w:szCs w:val="18"/>
                <w:lang w:val="zh-TW"/>
              </w:rPr>
            </w:pPr>
            <w:r>
              <w:rPr>
                <w:rFonts w:ascii="Times New Roman" w:hAnsi="Calibri" w:eastAsia="宋体" w:cs="Times New Roman"/>
                <w:color w:val="auto"/>
                <w:sz w:val="18"/>
                <w:szCs w:val="18"/>
                <w:lang w:val="zh-TW"/>
              </w:rPr>
              <w:t>设备运行参数是否工艺规程允许的范围内</w:t>
            </w:r>
          </w:p>
        </w:tc>
        <w:tc>
          <w:tcPr>
            <w:tcW w:w="1276" w:type="dxa"/>
            <w:shd w:val="clear" w:color="auto" w:fill="FFFFFF"/>
            <w:noWrap/>
            <w:vAlign w:val="top"/>
          </w:tcPr>
          <w:p>
            <w:pPr>
              <w:snapToGrid w:val="0"/>
              <w:rPr>
                <w:rFonts w:ascii="Times New Roman" w:hAnsi="Times New Roman" w:cs="Times New Roman"/>
                <w:color w:val="auto"/>
                <w:sz w:val="18"/>
                <w:szCs w:val="18"/>
              </w:rPr>
            </w:pPr>
          </w:p>
        </w:tc>
        <w:tc>
          <w:tcPr>
            <w:tcW w:w="3217"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383" w:type="dxa"/>
            <w:shd w:val="clear" w:color="auto" w:fill="FFFFFF"/>
            <w:noWrap/>
            <w:vAlign w:val="center"/>
          </w:tcPr>
          <w:p>
            <w:pPr>
              <w:widowControl/>
              <w:snapToGrid w:val="0"/>
              <w:rPr>
                <w:rFonts w:ascii="Times New Roman" w:hAnsi="Times New Roman" w:eastAsia="宋体" w:cs="Times New Roman"/>
                <w:color w:val="auto"/>
                <w:sz w:val="18"/>
                <w:szCs w:val="18"/>
                <w:lang w:val="zh-TW"/>
              </w:rPr>
            </w:pPr>
            <w:r>
              <w:rPr>
                <w:rFonts w:ascii="Times New Roman" w:hAnsi="Calibri" w:eastAsia="宋体" w:cs="Times New Roman"/>
                <w:color w:val="auto"/>
                <w:sz w:val="18"/>
                <w:szCs w:val="18"/>
                <w:lang w:val="zh-TW"/>
              </w:rPr>
              <w:t>其他异常情况及采取措施</w:t>
            </w:r>
          </w:p>
        </w:tc>
        <w:tc>
          <w:tcPr>
            <w:tcW w:w="3685" w:type="dxa"/>
            <w:shd w:val="clear" w:color="auto" w:fill="FFFFFF"/>
            <w:noWrap/>
            <w:vAlign w:val="center"/>
          </w:tcPr>
          <w:p>
            <w:pPr>
              <w:widowControl/>
              <w:snapToGrid w:val="0"/>
              <w:rPr>
                <w:rFonts w:ascii="Times New Roman" w:hAnsi="Times New Roman" w:eastAsia="宋体" w:cs="Times New Roman"/>
                <w:color w:val="auto"/>
                <w:sz w:val="18"/>
                <w:szCs w:val="18"/>
                <w:lang w:val="zh-TW"/>
              </w:rPr>
            </w:pPr>
          </w:p>
        </w:tc>
        <w:tc>
          <w:tcPr>
            <w:tcW w:w="1276" w:type="dxa"/>
            <w:shd w:val="clear" w:color="auto" w:fill="FFFFFF"/>
            <w:noWrap/>
            <w:vAlign w:val="top"/>
          </w:tcPr>
          <w:p>
            <w:pPr>
              <w:snapToGrid w:val="0"/>
              <w:rPr>
                <w:rFonts w:ascii="Times New Roman" w:hAnsi="Times New Roman" w:cs="Times New Roman"/>
                <w:color w:val="auto"/>
                <w:sz w:val="18"/>
                <w:szCs w:val="18"/>
              </w:rPr>
            </w:pPr>
          </w:p>
        </w:tc>
        <w:tc>
          <w:tcPr>
            <w:tcW w:w="3217"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14" w:hRule="exact"/>
          <w:jc w:val="center"/>
        </w:trPr>
        <w:tc>
          <w:tcPr>
            <w:tcW w:w="138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检查人员</w:t>
            </w:r>
          </w:p>
        </w:tc>
        <w:tc>
          <w:tcPr>
            <w:tcW w:w="3685" w:type="dxa"/>
            <w:shd w:val="clear" w:color="auto" w:fill="FFFFFF"/>
            <w:noWrap/>
            <w:vAlign w:val="center"/>
          </w:tcPr>
          <w:p>
            <w:pPr>
              <w:snapToGrid w:val="0"/>
              <w:rPr>
                <w:rFonts w:ascii="Times New Roman" w:hAnsi="Times New Roman" w:cs="Times New Roman"/>
                <w:color w:val="auto"/>
                <w:sz w:val="18"/>
                <w:szCs w:val="18"/>
              </w:rPr>
            </w:pPr>
          </w:p>
        </w:tc>
        <w:tc>
          <w:tcPr>
            <w:tcW w:w="4493"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日期：</w:t>
            </w:r>
          </w:p>
        </w:tc>
      </w:tr>
    </w:tbl>
    <w:p>
      <w:pPr>
        <w:pStyle w:val="10"/>
        <w:snapToGrid w:val="0"/>
        <w:spacing w:line="240" w:lineRule="auto"/>
        <w:rPr>
          <w:rFonts w:ascii="Times New Roman" w:hAnsi="Times New Roman" w:cs="Times New Roman"/>
          <w:color w:val="auto"/>
          <w:sz w:val="18"/>
          <w:szCs w:val="18"/>
          <w:lang w:eastAsia="zh-CN"/>
        </w:rPr>
      </w:pP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注：本记录表为通用要求，使用单位应根据设备实际运行状况增加检查内容</w:t>
      </w:r>
      <w:r>
        <w:rPr>
          <w:rFonts w:ascii="Times New Roman" w:hAnsi="Times New Roman" w:cs="Times New Roman"/>
          <w:color w:val="auto"/>
          <w:sz w:val="18"/>
          <w:szCs w:val="18"/>
          <w:lang w:eastAsia="zh-CN"/>
        </w:rPr>
        <w:t>。</w:t>
      </w:r>
    </w:p>
    <w:p>
      <w:pPr>
        <w:snapToGrid w:val="0"/>
        <w:rPr>
          <w:rFonts w:ascii="Times New Roman" w:hAnsi="Times New Roman" w:eastAsia="宋体" w:cs="Times New Roman"/>
          <w:color w:val="auto"/>
          <w:sz w:val="18"/>
          <w:szCs w:val="18"/>
        </w:rPr>
        <w:sectPr>
          <w:pgSz w:w="11900" w:h="16840"/>
          <w:pgMar w:top="1134" w:right="1134" w:bottom="1134" w:left="1134" w:header="851" w:footer="851" w:gutter="0"/>
          <w:pgNumType w:fmt="numberInDash"/>
          <w:cols w:space="720" w:num="1"/>
          <w:docGrid w:linePitch="360" w:charSpace="0"/>
        </w:sectPr>
      </w:pPr>
    </w:p>
    <w:p>
      <w:pPr>
        <w:snapToGrid w:val="0"/>
        <w:spacing w:afterLines="50"/>
        <w:jc w:val="center"/>
        <w:rPr>
          <w:rFonts w:hint="eastAsia" w:ascii="方正小标宋简体" w:hAnsi="方正小标宋简体" w:eastAsia="方正小标宋简体" w:cs="方正小标宋简体"/>
          <w:b w:val="0"/>
          <w:bCs/>
          <w:color w:val="auto"/>
          <w:kern w:val="2"/>
          <w:sz w:val="32"/>
          <w:szCs w:val="32"/>
          <w:lang w:val="zh-TW" w:eastAsia="zh-TW" w:bidi="zh-TW"/>
        </w:rPr>
      </w:pPr>
      <w:r>
        <w:rPr>
          <w:rFonts w:hint="eastAsia" w:ascii="方正小标宋简体" w:hAnsi="方正小标宋简体" w:eastAsia="方正小标宋简体" w:cs="方正小标宋简体"/>
          <w:b w:val="0"/>
          <w:bCs/>
          <w:color w:val="auto"/>
          <w:kern w:val="2"/>
          <w:sz w:val="32"/>
          <w:szCs w:val="32"/>
          <w:lang w:val="zh-TW" w:eastAsia="zh-TW" w:bidi="zh-TW"/>
        </w:rPr>
        <w:t>表B.3  特种设备隐患排查清单——移动式压力容器专项要求</w:t>
      </w:r>
    </w:p>
    <w:tbl>
      <w:tblPr>
        <w:tblStyle w:val="8"/>
        <w:tblW w:w="14611"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61"/>
        <w:gridCol w:w="956"/>
        <w:gridCol w:w="887"/>
        <w:gridCol w:w="1559"/>
        <w:gridCol w:w="992"/>
        <w:gridCol w:w="93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39" w:hRule="atLeast"/>
        </w:trPr>
        <w:tc>
          <w:tcPr>
            <w:tcW w:w="861"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排查内容</w:t>
            </w:r>
          </w:p>
        </w:tc>
        <w:tc>
          <w:tcPr>
            <w:tcW w:w="956"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排查人</w:t>
            </w:r>
          </w:p>
        </w:tc>
        <w:tc>
          <w:tcPr>
            <w:tcW w:w="887"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排查时间</w:t>
            </w:r>
          </w:p>
        </w:tc>
        <w:tc>
          <w:tcPr>
            <w:tcW w:w="2551" w:type="dxa"/>
            <w:gridSpan w:val="2"/>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val="en-US" w:eastAsia="zh-CN"/>
              </w:rPr>
            </w:pPr>
            <w:r>
              <w:rPr>
                <w:rFonts w:ascii="Times New Roman" w:hAnsi="黑体" w:eastAsia="黑体" w:cs="Times New Roman"/>
                <w:b/>
                <w:bCs w:val="0"/>
                <w:color w:val="auto"/>
                <w:sz w:val="18"/>
                <w:szCs w:val="18"/>
                <w:lang w:val="en-US" w:eastAsia="zh-CN"/>
              </w:rPr>
              <w:t>排查依据</w:t>
            </w:r>
          </w:p>
        </w:tc>
        <w:tc>
          <w:tcPr>
            <w:tcW w:w="9356"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92" w:hRule="exact"/>
        </w:trPr>
        <w:tc>
          <w:tcPr>
            <w:tcW w:w="86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1559"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法规标准</w:t>
            </w:r>
          </w:p>
        </w:tc>
        <w:tc>
          <w:tcPr>
            <w:tcW w:w="992"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适用条款</w:t>
            </w:r>
          </w:p>
        </w:tc>
        <w:tc>
          <w:tcPr>
            <w:tcW w:w="9356" w:type="dxa"/>
            <w:vMerge w:val="continue"/>
            <w:shd w:val="clear" w:color="auto" w:fill="FFFFFF"/>
            <w:noWrap/>
            <w:vAlign w:val="center"/>
          </w:tcPr>
          <w:p>
            <w:pPr>
              <w:pStyle w:val="10"/>
              <w:snapToGrid w:val="0"/>
              <w:spacing w:line="240" w:lineRule="auto"/>
              <w:rPr>
                <w:rFonts w:ascii="Times New Roman" w:hAnsi="Times New Roman" w:cs="Times New Roman"/>
                <w:b w:val="0"/>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504"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bookmarkStart w:id="16" w:name="_Hlk53690799"/>
            <w:r>
              <w:rPr>
                <w:rFonts w:ascii="Times New Roman" w:hAnsi="Times New Roman" w:cs="Times New Roman"/>
                <w:color w:val="auto"/>
                <w:sz w:val="18"/>
                <w:szCs w:val="18"/>
              </w:rPr>
              <w:t>技术档</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案管理</w:t>
            </w:r>
            <w:bookmarkEnd w:id="16"/>
          </w:p>
        </w:tc>
        <w:tc>
          <w:tcPr>
            <w:tcW w:w="956"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安全管理人员</w:t>
            </w:r>
          </w:p>
        </w:tc>
        <w:tc>
          <w:tcPr>
            <w:tcW w:w="887"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每年至少一次</w:t>
            </w:r>
          </w:p>
        </w:tc>
        <w:tc>
          <w:tcPr>
            <w:tcW w:w="1559"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移动式压力容器安全技术监察规程</w:t>
            </w:r>
            <w:r>
              <w:rPr>
                <w:rFonts w:ascii="Times New Roman" w:hAnsi="Times New Roman" w:eastAsia="Times New Roman" w:cs="Times New Roman"/>
                <w:color w:val="auto"/>
                <w:sz w:val="18"/>
                <w:szCs w:val="18"/>
                <w:lang w:val="en-US" w:eastAsia="zh-CN" w:bidi="en-US"/>
              </w:rPr>
              <w:t>(TSG R</w:t>
            </w:r>
            <w:r>
              <w:rPr>
                <w:rFonts w:ascii="Times New Roman" w:hAnsi="Times New Roman" w:cs="Times New Roman"/>
                <w:color w:val="auto"/>
                <w:sz w:val="18"/>
                <w:szCs w:val="18"/>
                <w:lang w:val="en-US" w:eastAsia="zh-CN" w:bidi="en-US"/>
              </w:rPr>
              <w:t>000</w:t>
            </w:r>
            <w:r>
              <w:rPr>
                <w:rFonts w:ascii="Times New Roman" w:hAnsi="Times New Roman" w:eastAsia="Times New Roman" w:cs="Times New Roman"/>
                <w:color w:val="auto"/>
                <w:sz w:val="18"/>
                <w:szCs w:val="18"/>
                <w:lang w:val="en-US" w:eastAsia="zh-CN" w:bidi="en-US"/>
              </w:rPr>
              <w:t>5-</w:t>
            </w:r>
            <w:r>
              <w:rPr>
                <w:rFonts w:ascii="Times New Roman" w:hAnsi="Times New Roman" w:eastAsia="Times New Roman" w:cs="Times New Roman"/>
                <w:color w:val="auto"/>
                <w:sz w:val="18"/>
                <w:szCs w:val="18"/>
              </w:rPr>
              <w:t>2011)</w:t>
            </w: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5.4</w:t>
            </w:r>
          </w:p>
        </w:tc>
        <w:tc>
          <w:tcPr>
            <w:tcW w:w="935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使用单位应当逐台建立移动式压力容器技术档案并且由其管理部门统一负责保管。技术档案应当包括以下内容： (已经使用二维码和</w:t>
            </w:r>
            <w:r>
              <w:rPr>
                <w:rFonts w:ascii="Times New Roman" w:hAnsi="Times New Roman" w:cs="Times New Roman"/>
                <w:color w:val="auto"/>
                <w:sz w:val="18"/>
                <w:szCs w:val="18"/>
                <w:lang w:val="en-US" w:eastAsia="zh-CN" w:bidi="en-US"/>
              </w:rPr>
              <w:t>USB</w:t>
            </w:r>
            <w:r>
              <w:rPr>
                <w:rFonts w:ascii="Times New Roman" w:hAnsi="Times New Roman" w:cs="Times New Roman"/>
                <w:color w:val="auto"/>
                <w:sz w:val="18"/>
                <w:szCs w:val="18"/>
              </w:rPr>
              <w:t>密钥的从其相关管理规定保存二维码和密钥)</w:t>
            </w:r>
          </w:p>
          <w:p>
            <w:pPr>
              <w:pStyle w:val="10"/>
              <w:numPr>
                <w:ilvl w:val="0"/>
                <w:numId w:val="27"/>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《使用登记证》及电子记录卡；</w:t>
            </w:r>
          </w:p>
          <w:p>
            <w:pPr>
              <w:pStyle w:val="10"/>
              <w:numPr>
                <w:ilvl w:val="0"/>
                <w:numId w:val="27"/>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《特种设备使用登记表》；</w:t>
            </w:r>
          </w:p>
          <w:p>
            <w:pPr>
              <w:pStyle w:val="10"/>
              <w:numPr>
                <w:ilvl w:val="0"/>
                <w:numId w:val="27"/>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val="en-US" w:eastAsia="zh-CN" w:bidi="en-US"/>
              </w:rPr>
              <w:t>TSG R0005-</w:t>
            </w:r>
            <w:r>
              <w:rPr>
                <w:rFonts w:ascii="Times New Roman" w:hAnsi="Times New Roman" w:cs="Times New Roman"/>
                <w:color w:val="auto"/>
                <w:sz w:val="18"/>
                <w:szCs w:val="18"/>
              </w:rPr>
              <w:t>2011中</w:t>
            </w:r>
            <w:r>
              <w:rPr>
                <w:rFonts w:ascii="Times New Roman" w:hAnsi="Times New Roman" w:cs="Times New Roman"/>
                <w:color w:val="auto"/>
                <w:sz w:val="18"/>
                <w:szCs w:val="18"/>
                <w:lang w:val="en-US" w:eastAsia="zh-CN" w:bidi="en-US"/>
              </w:rPr>
              <w:t>4.1.3</w:t>
            </w:r>
            <w:r>
              <w:rPr>
                <w:rFonts w:ascii="Times New Roman" w:hAnsi="Times New Roman" w:cs="Times New Roman"/>
                <w:color w:val="auto"/>
                <w:sz w:val="18"/>
                <w:szCs w:val="18"/>
              </w:rPr>
              <w:t>规定的移动式压力容器技术文件和资料；</w:t>
            </w:r>
          </w:p>
          <w:p>
            <w:pPr>
              <w:pStyle w:val="10"/>
              <w:numPr>
                <w:ilvl w:val="0"/>
                <w:numId w:val="27"/>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移动式压力容器定期检验报告，以及有关检验的技术文件和资料；</w:t>
            </w:r>
          </w:p>
          <w:p>
            <w:pPr>
              <w:pStyle w:val="10"/>
              <w:numPr>
                <w:ilvl w:val="0"/>
                <w:numId w:val="27"/>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移动式压力容器维修和改造的方案、设计图样、材料质量证明书、施工质量检验技术文件和资料；</w:t>
            </w:r>
          </w:p>
          <w:p>
            <w:pPr>
              <w:pStyle w:val="10"/>
              <w:numPr>
                <w:ilvl w:val="0"/>
                <w:numId w:val="27"/>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移动式压力容器的日常检查和维护保养与定期自行检查记录、年度检查报告；</w:t>
            </w:r>
          </w:p>
          <w:p>
            <w:pPr>
              <w:pStyle w:val="10"/>
              <w:numPr>
                <w:ilvl w:val="0"/>
                <w:numId w:val="27"/>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安全附件、装卸附件(如果有)的校验、修理和更换记录；</w:t>
            </w:r>
          </w:p>
          <w:p>
            <w:pPr>
              <w:pStyle w:val="10"/>
              <w:numPr>
                <w:ilvl w:val="0"/>
                <w:numId w:val="27"/>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有关事故的记录资料和处理报告。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495"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bookmarkStart w:id="17" w:name="_Hlk53690821"/>
            <w:r>
              <w:rPr>
                <w:rFonts w:ascii="Times New Roman" w:hAnsi="Times New Roman" w:cs="Times New Roman"/>
                <w:color w:val="auto"/>
                <w:sz w:val="18"/>
                <w:szCs w:val="18"/>
              </w:rPr>
              <w:t>操作规</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程制定</w:t>
            </w:r>
            <w:bookmarkEnd w:id="17"/>
          </w:p>
        </w:tc>
        <w:tc>
          <w:tcPr>
            <w:tcW w:w="9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5.5</w:t>
            </w:r>
          </w:p>
        </w:tc>
        <w:tc>
          <w:tcPr>
            <w:tcW w:w="935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使用单位应当在工艺和岗位操作规程中，明确提出移动式压力容器安全操作要求，操作规程至少包括以下内容：</w:t>
            </w:r>
          </w:p>
          <w:p>
            <w:pPr>
              <w:pStyle w:val="10"/>
              <w:numPr>
                <w:ilvl w:val="0"/>
                <w:numId w:val="28"/>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移动式压力容器的操作工艺参数</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包括工作压力、工作温度范围、最大允许充装量等；</w:t>
            </w:r>
          </w:p>
          <w:p>
            <w:pPr>
              <w:pStyle w:val="10"/>
              <w:numPr>
                <w:ilvl w:val="0"/>
                <w:numId w:val="28"/>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移动式压力容器的岗位操作方法</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包括车辆停放、装卸的操作程序和注意事项；</w:t>
            </w:r>
          </w:p>
          <w:p>
            <w:pPr>
              <w:pStyle w:val="10"/>
              <w:numPr>
                <w:ilvl w:val="0"/>
                <w:numId w:val="28"/>
              </w:numPr>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移动式压力容器运行中应当重点检查的项目和部位，运行中可能出现的异常现象和防止措施，紧急情况的处置和报告程序；</w:t>
            </w:r>
          </w:p>
          <w:p>
            <w:pPr>
              <w:pStyle w:val="10"/>
              <w:numPr>
                <w:ilvl w:val="0"/>
                <w:numId w:val="28"/>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移动式压力容器的车辆安全要求,包括车辆状况、车辆允许行驶速度以及运输过程中的作息时间要求。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263"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bookmarkStart w:id="18" w:name="_Hlk53690923"/>
            <w:r>
              <w:rPr>
                <w:rFonts w:ascii="Times New Roman" w:hAnsi="Times New Roman" w:cs="Times New Roman"/>
                <w:color w:val="auto"/>
                <w:sz w:val="18"/>
                <w:szCs w:val="18"/>
              </w:rPr>
              <w:t>作业人</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员配备</w:t>
            </w:r>
            <w:bookmarkEnd w:id="18"/>
          </w:p>
        </w:tc>
        <w:tc>
          <w:tcPr>
            <w:tcW w:w="9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5.6</w:t>
            </w:r>
          </w:p>
        </w:tc>
        <w:tc>
          <w:tcPr>
            <w:tcW w:w="935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移动式压力容器的安全管理人员和操作人员应当持有相应的特种设备作业人员证。使用单位应当对移动式压力容器作业人员定期进行安全教育与专业培训并且作好记录，保证作业人员了解所充装介质的性质、危害性和罐体、气瓶的使用特性,具备必要的移动式压力容器安全作业知识、作业技能，及时进行知识更新，确保作业人员掌握操作规程及事故应急措施，按章作业。</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对于从事移动式压力容器运输押运的人员，应当取得国务院有关部门规定的资格证书。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905"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异常情况报告管理</w:t>
            </w:r>
          </w:p>
        </w:tc>
        <w:tc>
          <w:tcPr>
            <w:tcW w:w="956"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操作人员或者押运人员</w:t>
            </w:r>
          </w:p>
        </w:tc>
        <w:tc>
          <w:tcPr>
            <w:tcW w:w="88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5.8.1</w:t>
            </w:r>
          </w:p>
        </w:tc>
        <w:tc>
          <w:tcPr>
            <w:tcW w:w="935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移动式压力容器发生下列异常现象之一时，操作人员或者押运人员应当立即采取紧急措施，并且按照规定的程序，及时向使用单位的有关部门报告：</w:t>
            </w:r>
          </w:p>
          <w:p>
            <w:pPr>
              <w:pStyle w:val="10"/>
              <w:numPr>
                <w:ilvl w:val="0"/>
                <w:numId w:val="29"/>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罐体或者气瓶工作压力、工作温度超过规定值，采取措施仍然不能得到有效控制；</w:t>
            </w:r>
          </w:p>
          <w:p>
            <w:pPr>
              <w:pStyle w:val="10"/>
              <w:numPr>
                <w:ilvl w:val="0"/>
                <w:numId w:val="29"/>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罐体或者气瓶发生裂缝、鼓包、变形、泄漏等危及安全的现象；</w:t>
            </w:r>
          </w:p>
          <w:p>
            <w:pPr>
              <w:pStyle w:val="10"/>
              <w:numPr>
                <w:ilvl w:val="0"/>
                <w:numId w:val="29"/>
              </w:numPr>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安全附件失灵、损坏等不能起到安全保护的情况；</w:t>
            </w:r>
          </w:p>
          <w:p>
            <w:pPr>
              <w:pStyle w:val="10"/>
              <w:numPr>
                <w:ilvl w:val="0"/>
                <w:numId w:val="29"/>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管路、紧固件损坏，难以保证安全运行；</w:t>
            </w:r>
          </w:p>
          <w:p>
            <w:pPr>
              <w:pStyle w:val="10"/>
              <w:numPr>
                <w:ilvl w:val="0"/>
                <w:numId w:val="29"/>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发生火灾等直接威胁到移动式压力容器安全运行；</w:t>
            </w:r>
          </w:p>
          <w:p>
            <w:pPr>
              <w:pStyle w:val="10"/>
              <w:numPr>
                <w:ilvl w:val="0"/>
                <w:numId w:val="29"/>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充装量超过核准的最大允许充装量；</w:t>
            </w:r>
          </w:p>
          <w:p>
            <w:pPr>
              <w:pStyle w:val="10"/>
              <w:numPr>
                <w:ilvl w:val="0"/>
                <w:numId w:val="29"/>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充装介质与铭牌和使用登记资料不符；</w:t>
            </w:r>
          </w:p>
          <w:p>
            <w:pPr>
              <w:pStyle w:val="10"/>
              <w:numPr>
                <w:ilvl w:val="0"/>
                <w:numId w:val="29"/>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真空绝热罐体外表面局部存在严重结冰、结霜或者结露,介质压力和温度明显上升；</w:t>
            </w:r>
          </w:p>
          <w:p>
            <w:pPr>
              <w:pStyle w:val="10"/>
              <w:numPr>
                <w:ilvl w:val="0"/>
                <w:numId w:val="29"/>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移动式压力容器的走行装置及其与罐体或者气瓶连接部位的零部件等发生损坏、变形等危及安全运行；</w:t>
            </w:r>
          </w:p>
          <w:p>
            <w:pPr>
              <w:pStyle w:val="10"/>
              <w:numPr>
                <w:ilvl w:val="0"/>
                <w:numId w:val="29"/>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其他异常情况。</w:t>
            </w:r>
          </w:p>
        </w:tc>
      </w:tr>
    </w:tbl>
    <w:p>
      <w:pPr>
        <w:snapToGrid w:val="0"/>
        <w:rPr>
          <w:rFonts w:ascii="Times New Roman" w:hAnsi="Times New Roman" w:eastAsia="宋体" w:cs="Times New Roman"/>
          <w:color w:val="auto"/>
          <w:sz w:val="18"/>
          <w:szCs w:val="18"/>
        </w:rPr>
      </w:pPr>
    </w:p>
    <w:p>
      <w:pPr>
        <w:snapToGrid w:val="0"/>
        <w:rPr>
          <w:rFonts w:ascii="Times New Roman" w:hAnsi="Times New Roman" w:eastAsia="宋体" w:cs="Times New Roman"/>
          <w:color w:val="auto"/>
          <w:sz w:val="18"/>
          <w:szCs w:val="18"/>
        </w:rPr>
      </w:pPr>
    </w:p>
    <w:tbl>
      <w:tblPr>
        <w:tblStyle w:val="8"/>
        <w:tblW w:w="14611"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61"/>
        <w:gridCol w:w="956"/>
        <w:gridCol w:w="887"/>
        <w:gridCol w:w="1559"/>
        <w:gridCol w:w="992"/>
        <w:gridCol w:w="93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39" w:hRule="atLeast"/>
        </w:trPr>
        <w:tc>
          <w:tcPr>
            <w:tcW w:w="861"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排查内容</w:t>
            </w:r>
          </w:p>
        </w:tc>
        <w:tc>
          <w:tcPr>
            <w:tcW w:w="956"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排查人</w:t>
            </w:r>
          </w:p>
        </w:tc>
        <w:tc>
          <w:tcPr>
            <w:tcW w:w="887"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排查时间</w:t>
            </w:r>
          </w:p>
        </w:tc>
        <w:tc>
          <w:tcPr>
            <w:tcW w:w="2551" w:type="dxa"/>
            <w:gridSpan w:val="2"/>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val="en-US" w:eastAsia="zh-CN"/>
              </w:rPr>
            </w:pPr>
            <w:r>
              <w:rPr>
                <w:rFonts w:ascii="Times New Roman" w:hAnsi="黑体" w:eastAsia="黑体" w:cs="Times New Roman"/>
                <w:b/>
                <w:bCs w:val="0"/>
                <w:color w:val="auto"/>
                <w:sz w:val="18"/>
                <w:szCs w:val="18"/>
                <w:lang w:val="en-US" w:eastAsia="zh-CN"/>
              </w:rPr>
              <w:t>排查依据</w:t>
            </w:r>
          </w:p>
        </w:tc>
        <w:tc>
          <w:tcPr>
            <w:tcW w:w="9356"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92" w:hRule="exact"/>
        </w:trPr>
        <w:tc>
          <w:tcPr>
            <w:tcW w:w="86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1559"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法规标准</w:t>
            </w:r>
          </w:p>
        </w:tc>
        <w:tc>
          <w:tcPr>
            <w:tcW w:w="992"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适用条款</w:t>
            </w:r>
          </w:p>
        </w:tc>
        <w:tc>
          <w:tcPr>
            <w:tcW w:w="9356"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702"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隐患处理程序</w:t>
            </w:r>
          </w:p>
        </w:tc>
        <w:tc>
          <w:tcPr>
            <w:tcW w:w="956"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安全管理人员</w:t>
            </w:r>
          </w:p>
        </w:tc>
        <w:tc>
          <w:tcPr>
            <w:tcW w:w="887" w:type="dxa"/>
            <w:vMerge w:val="restart"/>
            <w:shd w:val="clear" w:color="auto" w:fill="FFFFFF"/>
            <w:noWrap/>
            <w:vAlign w:val="center"/>
          </w:tcPr>
          <w:p>
            <w:pPr>
              <w:pStyle w:val="10"/>
              <w:snapToGrid w:val="0"/>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每年至少一次</w:t>
            </w:r>
          </w:p>
        </w:tc>
        <w:tc>
          <w:tcPr>
            <w:tcW w:w="1559"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移动式压力容器安全技术监察规程</w:t>
            </w:r>
            <w:r>
              <w:rPr>
                <w:rFonts w:ascii="Times New Roman" w:hAnsi="Times New Roman" w:eastAsia="Times New Roman" w:cs="Times New Roman"/>
                <w:color w:val="auto"/>
                <w:sz w:val="18"/>
                <w:szCs w:val="18"/>
                <w:lang w:val="en-US" w:eastAsia="zh-CN" w:bidi="en-US"/>
              </w:rPr>
              <w:t>(TSG R</w:t>
            </w:r>
            <w:r>
              <w:rPr>
                <w:rFonts w:ascii="Times New Roman" w:hAnsi="Times New Roman" w:cs="Times New Roman"/>
                <w:color w:val="auto"/>
                <w:sz w:val="18"/>
                <w:szCs w:val="18"/>
                <w:lang w:val="en-US" w:eastAsia="zh-CN" w:bidi="en-US"/>
              </w:rPr>
              <w:t>000</w:t>
            </w:r>
            <w:r>
              <w:rPr>
                <w:rFonts w:ascii="Times New Roman" w:hAnsi="Times New Roman" w:eastAsia="Times New Roman" w:cs="Times New Roman"/>
                <w:color w:val="auto"/>
                <w:sz w:val="18"/>
                <w:szCs w:val="18"/>
                <w:lang w:val="en-US" w:eastAsia="zh-CN" w:bidi="en-US"/>
              </w:rPr>
              <w:t>5-</w:t>
            </w:r>
            <w:r>
              <w:rPr>
                <w:rFonts w:ascii="Times New Roman" w:hAnsi="Times New Roman" w:eastAsia="Times New Roman" w:cs="Times New Roman"/>
                <w:color w:val="auto"/>
                <w:sz w:val="18"/>
                <w:szCs w:val="18"/>
              </w:rPr>
              <w:t>2011)</w:t>
            </w: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5.8.2</w:t>
            </w:r>
          </w:p>
        </w:tc>
        <w:tc>
          <w:tcPr>
            <w:tcW w:w="935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移动式压力容器使用单位应当对出现故障或者发生异常情况的移动式压力容器及时进行检查处理，消除隐患；对存在严重事故隐患，无改造、维修价值的移动式压力容器，应当及时予以报废，并且办理注销手续。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120"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使用管理情况</w:t>
            </w:r>
          </w:p>
        </w:tc>
        <w:tc>
          <w:tcPr>
            <w:tcW w:w="9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5.10</w:t>
            </w:r>
          </w:p>
        </w:tc>
        <w:tc>
          <w:tcPr>
            <w:tcW w:w="9356" w:type="dxa"/>
            <w:shd w:val="clear" w:color="auto" w:fill="FFFFFF"/>
            <w:noWrap/>
            <w:vAlign w:val="center"/>
          </w:tcPr>
          <w:p>
            <w:pPr>
              <w:pStyle w:val="10"/>
              <w:numPr>
                <w:ilvl w:val="0"/>
                <w:numId w:val="30"/>
              </w:numPr>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充装易燃、易爆介质的移动式压力容器，在新制造或者改造、维修、检验检测等后的首次充装(以下简称首次充装)前,必须对罐体或者气瓶内介质进行分析检测，不符合规定的应当按照</w:t>
            </w:r>
            <w:r>
              <w:rPr>
                <w:rFonts w:ascii="Times New Roman" w:hAnsi="Times New Roman" w:eastAsia="Times New Roman" w:cs="Times New Roman"/>
                <w:color w:val="auto"/>
                <w:sz w:val="18"/>
                <w:szCs w:val="18"/>
                <w:lang w:val="en-US" w:eastAsia="zh-CN" w:bidi="en-US"/>
              </w:rPr>
              <w:t>TSG R0005-2011</w:t>
            </w:r>
            <w:r>
              <w:rPr>
                <w:rFonts w:ascii="Times New Roman" w:hAnsi="Times New Roman" w:cs="Times New Roman"/>
                <w:color w:val="auto"/>
                <w:sz w:val="18"/>
                <w:szCs w:val="18"/>
              </w:rPr>
              <w:t>中</w:t>
            </w:r>
            <w:r>
              <w:rPr>
                <w:rFonts w:ascii="Times New Roman" w:hAnsi="Times New Roman" w:eastAsia="Times New Roman" w:cs="Times New Roman"/>
                <w:color w:val="auto"/>
                <w:sz w:val="18"/>
                <w:szCs w:val="18"/>
                <w:lang w:val="en-US" w:eastAsia="zh-CN" w:bidi="en-US"/>
              </w:rPr>
              <w:t>4.10.2</w:t>
            </w:r>
            <w:r>
              <w:rPr>
                <w:rFonts w:ascii="Times New Roman" w:hAnsi="Times New Roman" w:cs="Times New Roman"/>
                <w:color w:val="auto"/>
                <w:sz w:val="18"/>
                <w:szCs w:val="18"/>
              </w:rPr>
              <w:t>的规定及产品使用说明书的要求重新进行氮气置换或者抽真空处理，合格后方可投入使用；</w:t>
            </w:r>
          </w:p>
          <w:p>
            <w:pPr>
              <w:pStyle w:val="10"/>
              <w:numPr>
                <w:ilvl w:val="0"/>
                <w:numId w:val="30"/>
              </w:numPr>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充装介质对含水量有特别要求的移动式压力容器，首次充装前，必须按照产品使用说明书的要求对罐体或者气瓶内含水量进行处理和分析；</w:t>
            </w:r>
          </w:p>
          <w:p>
            <w:pPr>
              <w:pStyle w:val="10"/>
              <w:numPr>
                <w:ilvl w:val="0"/>
                <w:numId w:val="30"/>
              </w:numPr>
              <w:tabs>
                <w:tab w:val="left" w:pos="33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移动式压力容器到达卸载站点后，具备卸载条件的，必须及时卸载；充装易燃、易爆介质的，卸载后罐体或者气瓶内余压不得小于</w:t>
            </w:r>
            <w:r>
              <w:rPr>
                <w:rFonts w:ascii="Times New Roman" w:hAnsi="Times New Roman" w:eastAsia="Times New Roman" w:cs="Times New Roman"/>
                <w:color w:val="auto"/>
                <w:sz w:val="18"/>
                <w:szCs w:val="18"/>
                <w:lang w:val="en-US" w:eastAsia="zh-CN" w:bidi="en-US"/>
              </w:rPr>
              <w:t>0.05 MPa</w:t>
            </w:r>
            <w:r>
              <w:rPr>
                <w:rFonts w:ascii="Times New Roman" w:hAnsi="Times New Roman" w:cs="Times New Roman"/>
                <w:color w:val="auto"/>
                <w:sz w:val="18"/>
                <w:szCs w:val="18"/>
                <w:lang w:val="en-US" w:eastAsia="zh-CN" w:bidi="en-US"/>
              </w:rPr>
              <w:t>；</w:t>
            </w:r>
          </w:p>
          <w:p>
            <w:pPr>
              <w:pStyle w:val="10"/>
              <w:numPr>
                <w:ilvl w:val="0"/>
                <w:numId w:val="30"/>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移动式压力容器卸载作业应当满足</w:t>
            </w:r>
            <w:r>
              <w:rPr>
                <w:rFonts w:ascii="Times New Roman" w:hAnsi="Times New Roman" w:eastAsia="Times New Roman" w:cs="Times New Roman"/>
                <w:color w:val="auto"/>
                <w:sz w:val="18"/>
                <w:szCs w:val="18"/>
                <w:lang w:val="en-US" w:eastAsia="zh-CN" w:bidi="en-US"/>
              </w:rPr>
              <w:t>TSG R0005-2011</w:t>
            </w:r>
            <w:r>
              <w:rPr>
                <w:rFonts w:ascii="Times New Roman" w:hAnsi="Times New Roman" w:cs="Times New Roman"/>
                <w:color w:val="auto"/>
                <w:sz w:val="18"/>
                <w:szCs w:val="18"/>
              </w:rPr>
              <w:t>中第</w:t>
            </w:r>
            <w:r>
              <w:rPr>
                <w:rFonts w:ascii="Times New Roman" w:hAnsi="Times New Roman" w:eastAsia="Times New Roman" w:cs="Times New Roman"/>
                <w:color w:val="auto"/>
                <w:sz w:val="18"/>
                <w:szCs w:val="18"/>
              </w:rPr>
              <w:t>6</w:t>
            </w:r>
            <w:r>
              <w:rPr>
                <w:rFonts w:ascii="Times New Roman" w:hAnsi="Times New Roman" w:cs="Times New Roman"/>
                <w:color w:val="auto"/>
                <w:sz w:val="18"/>
                <w:szCs w:val="18"/>
              </w:rPr>
              <w:t>章的相关安全要求，采用压差方式卸载时，接受卸载的固定式压力容器应当设置压力保护装置或者防止压力上升的等效措施；</w:t>
            </w:r>
          </w:p>
          <w:p>
            <w:pPr>
              <w:pStyle w:val="10"/>
              <w:numPr>
                <w:ilvl w:val="0"/>
                <w:numId w:val="30"/>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除应急救援情况外，禁止移动式压力容器之间相互装卸作业，禁止移动式压力容器直接向用气瓶进行充装；</w:t>
            </w:r>
          </w:p>
          <w:p>
            <w:pPr>
              <w:pStyle w:val="10"/>
              <w:numPr>
                <w:ilvl w:val="0"/>
                <w:numId w:val="30"/>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禁止使用明火直接烘烤或者采用高强度加热的办法对移动式压力容器进行升压或者对冰冻的阀门、仪表和管接</w:t>
            </w:r>
            <w:r>
              <w:rPr>
                <w:rFonts w:ascii="Times New Roman" w:hAnsi="Times New Roman" w:cs="Times New Roman"/>
                <w:color w:val="auto"/>
                <w:sz w:val="18"/>
                <w:szCs w:val="18"/>
                <w:lang w:eastAsia="zh-CN"/>
              </w:rPr>
              <w:t>头</w:t>
            </w:r>
            <w:r>
              <w:rPr>
                <w:rFonts w:ascii="Times New Roman" w:hAnsi="Times New Roman" w:cs="Times New Roman"/>
                <w:color w:val="auto"/>
                <w:sz w:val="18"/>
                <w:szCs w:val="18"/>
              </w:rPr>
              <w:t>等进行解冻。</w:t>
            </w:r>
          </w:p>
          <w:p>
            <w:pPr>
              <w:pStyle w:val="10"/>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负责本条第(</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项处理工作的单位，应当向使用单位出具处理和分析结果的证明文件。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265"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变更使用要求</w:t>
            </w:r>
          </w:p>
        </w:tc>
        <w:tc>
          <w:tcPr>
            <w:tcW w:w="9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5.11</w:t>
            </w:r>
          </w:p>
        </w:tc>
        <w:tc>
          <w:tcPr>
            <w:tcW w:w="935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变更移动式压力容器使用条件(如变更充装介质、设计参数、最大允许充装量等)应当符合以下要求：</w:t>
            </w:r>
          </w:p>
          <w:p>
            <w:pPr>
              <w:pStyle w:val="10"/>
              <w:numPr>
                <w:ilvl w:val="0"/>
                <w:numId w:val="31"/>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必须经过原设计单位或者具有相应资质的设计单位书面同意，并且出具设计修改文件</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设计修改文件的内容至少包括设计修改说明、必要的检验试验要求、标志要求以及根据实际变更条件所需要的强度校核计算、安全泄放装置排放量计算、设计修改图样及产品使用说明等；</w:t>
            </w:r>
          </w:p>
          <w:p>
            <w:pPr>
              <w:pStyle w:val="10"/>
              <w:numPr>
                <w:ilvl w:val="0"/>
                <w:numId w:val="31"/>
              </w:numPr>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需要对移动式压力容器结构进行相应改造的，按照</w:t>
            </w:r>
            <w:r>
              <w:rPr>
                <w:rFonts w:ascii="Times New Roman" w:hAnsi="Times New Roman" w:eastAsia="Times New Roman" w:cs="Times New Roman"/>
                <w:color w:val="auto"/>
                <w:sz w:val="18"/>
                <w:szCs w:val="18"/>
                <w:lang w:val="en-US" w:eastAsia="zh-CN" w:bidi="en-US"/>
              </w:rPr>
              <w:t>TSG R0005-2011</w:t>
            </w:r>
            <w:r>
              <w:rPr>
                <w:rFonts w:ascii="Times New Roman" w:hAnsi="Times New Roman" w:cs="Times New Roman"/>
                <w:color w:val="auto"/>
                <w:sz w:val="18"/>
                <w:szCs w:val="18"/>
              </w:rPr>
              <w:t>中第</w:t>
            </w:r>
            <w:r>
              <w:rPr>
                <w:rFonts w:ascii="Times New Roman" w:hAnsi="Times New Roman" w:eastAsia="Times New Roman" w:cs="Times New Roman"/>
                <w:color w:val="auto"/>
                <w:sz w:val="18"/>
                <w:szCs w:val="18"/>
              </w:rPr>
              <w:t>7</w:t>
            </w:r>
            <w:r>
              <w:rPr>
                <w:rFonts w:ascii="Times New Roman" w:hAnsi="Times New Roman" w:cs="Times New Roman"/>
                <w:color w:val="auto"/>
                <w:sz w:val="18"/>
                <w:szCs w:val="18"/>
              </w:rPr>
              <w:t>章相关规定及设计修改文件要求执行；</w:t>
            </w:r>
          </w:p>
          <w:p>
            <w:pPr>
              <w:pStyle w:val="10"/>
              <w:numPr>
                <w:ilvl w:val="0"/>
                <w:numId w:val="31"/>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不需要对移动式压力容器结构进行相应改造的，使用单位应当向使用登记机关提出书面申请，经具备相应检验资质的检验机构按照</w:t>
            </w:r>
            <w:r>
              <w:rPr>
                <w:rFonts w:ascii="Times New Roman" w:hAnsi="Times New Roman" w:eastAsia="Times New Roman" w:cs="Times New Roman"/>
                <w:color w:val="auto"/>
                <w:sz w:val="18"/>
                <w:szCs w:val="18"/>
                <w:lang w:val="en-US" w:eastAsia="zh-CN" w:bidi="en-US"/>
              </w:rPr>
              <w:t>TSG R0005-2011</w:t>
            </w:r>
            <w:r>
              <w:rPr>
                <w:rFonts w:ascii="Times New Roman" w:hAnsi="Times New Roman" w:cs="Times New Roman"/>
                <w:color w:val="auto"/>
                <w:sz w:val="18"/>
                <w:szCs w:val="18"/>
              </w:rPr>
              <w:t>中</w:t>
            </w:r>
            <w:r>
              <w:rPr>
                <w:rFonts w:ascii="Times New Roman" w:hAnsi="Times New Roman" w:eastAsia="Times New Roman" w:cs="Times New Roman"/>
                <w:color w:val="auto"/>
                <w:sz w:val="18"/>
                <w:szCs w:val="18"/>
                <w:lang w:val="en-US" w:eastAsia="zh-CN" w:bidi="en-US"/>
              </w:rPr>
              <w:t>5.9</w:t>
            </w:r>
            <w:r>
              <w:rPr>
                <w:rFonts w:ascii="Times New Roman" w:hAnsi="Times New Roman" w:cs="Times New Roman"/>
                <w:color w:val="auto"/>
                <w:sz w:val="18"/>
                <w:szCs w:val="18"/>
              </w:rPr>
              <w:t>的规定及设计修改文件的要求进行相应检验，合格后方可办理使用登记变更手续；</w:t>
            </w:r>
          </w:p>
          <w:p>
            <w:pPr>
              <w:pStyle w:val="10"/>
              <w:numPr>
                <w:ilvl w:val="0"/>
                <w:numId w:val="31"/>
              </w:numPr>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变更充装介质，如果在原出厂设计文件(竣工图、产品说明书等)允许范围内，按照本条第(</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项的规定执行；如果不在原出厂设计规定范围内，则根据情况按照本条的相应规定执行；</w:t>
            </w:r>
          </w:p>
          <w:p>
            <w:pPr>
              <w:pStyle w:val="10"/>
              <w:numPr>
                <w:ilvl w:val="0"/>
                <w:numId w:val="31"/>
              </w:numPr>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变更使用条件，但是未进行</w:t>
            </w:r>
            <w:r>
              <w:rPr>
                <w:rFonts w:ascii="Times New Roman" w:hAnsi="Times New Roman" w:eastAsia="Times New Roman" w:cs="Times New Roman"/>
                <w:color w:val="auto"/>
                <w:sz w:val="18"/>
                <w:szCs w:val="18"/>
                <w:lang w:val="en-US" w:eastAsia="zh-CN" w:bidi="en-US"/>
              </w:rPr>
              <w:t>TSG R0005-2011</w:t>
            </w:r>
            <w:r>
              <w:rPr>
                <w:rFonts w:ascii="Times New Roman" w:hAnsi="Times New Roman" w:cs="Times New Roman"/>
                <w:color w:val="auto"/>
                <w:sz w:val="18"/>
                <w:szCs w:val="18"/>
              </w:rPr>
              <w:t>中</w:t>
            </w:r>
            <w:r>
              <w:rPr>
                <w:rFonts w:ascii="Times New Roman" w:hAnsi="Times New Roman" w:eastAsia="Times New Roman" w:cs="Times New Roman"/>
                <w:color w:val="auto"/>
                <w:sz w:val="18"/>
                <w:szCs w:val="18"/>
                <w:lang w:val="en-US" w:eastAsia="zh-CN" w:bidi="en-US"/>
              </w:rPr>
              <w:t>7.2</w:t>
            </w:r>
            <w:r>
              <w:rPr>
                <w:rFonts w:ascii="Times New Roman" w:hAnsi="Times New Roman" w:cs="Times New Roman"/>
                <w:color w:val="auto"/>
                <w:sz w:val="18"/>
                <w:szCs w:val="18"/>
              </w:rPr>
              <w:t>所述改造的，可以不更换产品铭牌，由修理单位或者改造单位根据变更后的内容，按照引用标准进行表面涂装及标志等；</w:t>
            </w:r>
          </w:p>
          <w:p>
            <w:pPr>
              <w:pStyle w:val="10"/>
              <w:numPr>
                <w:ilvl w:val="0"/>
                <w:numId w:val="31"/>
              </w:numPr>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使用条件变更后，使用单位必须将移动式压力容器的变更资料(包括设计单位同意的证明文件、设计修改文件及必要的检验报告等)报使用登记机关备案，并且办理使用登记变更手续。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409"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临时进口管理</w:t>
            </w:r>
          </w:p>
        </w:tc>
        <w:tc>
          <w:tcPr>
            <w:tcW w:w="9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5.12.2</w:t>
            </w:r>
          </w:p>
          <w:p>
            <w:pPr>
              <w:pStyle w:val="10"/>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5.12.4</w:t>
            </w:r>
          </w:p>
        </w:tc>
        <w:tc>
          <w:tcPr>
            <w:tcW w:w="935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临时进口移动式压力容器的使用单位安全管理工作应当符合以下要求：</w:t>
            </w:r>
          </w:p>
          <w:p>
            <w:pPr>
              <w:pStyle w:val="10"/>
              <w:numPr>
                <w:ilvl w:val="0"/>
                <w:numId w:val="3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制定和执行临时进口移动式压力容器安全管理制度；</w:t>
            </w:r>
          </w:p>
          <w:p>
            <w:pPr>
              <w:pStyle w:val="10"/>
              <w:numPr>
                <w:ilvl w:val="0"/>
                <w:numId w:val="3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建立临时进口移动式压力容器档案；</w:t>
            </w:r>
          </w:p>
          <w:p>
            <w:pPr>
              <w:pStyle w:val="10"/>
              <w:numPr>
                <w:ilvl w:val="0"/>
                <w:numId w:val="3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按照规定要求办理临时进口移动式压力容器的通关手续，约请检验机构实施安全性能检验，安全性能检验不合格的临时进口移动式压力容器不得使用；</w:t>
            </w:r>
          </w:p>
        </w:tc>
      </w:tr>
    </w:tbl>
    <w:p>
      <w:pPr>
        <w:snapToGrid w:val="0"/>
        <w:rPr>
          <w:rFonts w:ascii="Times New Roman" w:hAnsi="Times New Roman" w:eastAsia="宋体" w:cs="Times New Roman"/>
          <w:color w:val="auto"/>
          <w:sz w:val="18"/>
          <w:szCs w:val="18"/>
        </w:rPr>
      </w:pPr>
    </w:p>
    <w:p>
      <w:pPr>
        <w:snapToGrid w:val="0"/>
        <w:rPr>
          <w:rFonts w:ascii="Times New Roman" w:hAnsi="Times New Roman" w:eastAsia="宋体" w:cs="Times New Roman"/>
          <w:color w:val="auto"/>
          <w:sz w:val="18"/>
          <w:szCs w:val="18"/>
        </w:rPr>
      </w:pPr>
    </w:p>
    <w:tbl>
      <w:tblPr>
        <w:tblStyle w:val="8"/>
        <w:tblW w:w="14611"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61"/>
        <w:gridCol w:w="956"/>
        <w:gridCol w:w="887"/>
        <w:gridCol w:w="1559"/>
        <w:gridCol w:w="992"/>
        <w:gridCol w:w="93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39" w:hRule="atLeast"/>
        </w:trPr>
        <w:tc>
          <w:tcPr>
            <w:tcW w:w="861"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排查内容</w:t>
            </w:r>
          </w:p>
        </w:tc>
        <w:tc>
          <w:tcPr>
            <w:tcW w:w="956"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排查人</w:t>
            </w:r>
          </w:p>
        </w:tc>
        <w:tc>
          <w:tcPr>
            <w:tcW w:w="887"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排查时间</w:t>
            </w:r>
          </w:p>
        </w:tc>
        <w:tc>
          <w:tcPr>
            <w:tcW w:w="2551" w:type="dxa"/>
            <w:gridSpan w:val="2"/>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val="en-US" w:eastAsia="zh-CN"/>
              </w:rPr>
            </w:pPr>
            <w:r>
              <w:rPr>
                <w:rFonts w:ascii="Times New Roman" w:hAnsi="黑体" w:eastAsia="黑体" w:cs="Times New Roman"/>
                <w:b/>
                <w:bCs w:val="0"/>
                <w:color w:val="auto"/>
                <w:sz w:val="18"/>
                <w:szCs w:val="18"/>
                <w:lang w:val="en-US" w:eastAsia="zh-CN"/>
              </w:rPr>
              <w:t>排查依据</w:t>
            </w:r>
          </w:p>
        </w:tc>
        <w:tc>
          <w:tcPr>
            <w:tcW w:w="9356"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92" w:hRule="exact"/>
        </w:trPr>
        <w:tc>
          <w:tcPr>
            <w:tcW w:w="86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1559"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法规标准</w:t>
            </w:r>
          </w:p>
        </w:tc>
        <w:tc>
          <w:tcPr>
            <w:tcW w:w="992"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适用条款</w:t>
            </w:r>
          </w:p>
        </w:tc>
        <w:tc>
          <w:tcPr>
            <w:tcW w:w="9356"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836"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临时进口管理</w:t>
            </w:r>
          </w:p>
        </w:tc>
        <w:tc>
          <w:tcPr>
            <w:tcW w:w="956"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安全管理人员</w:t>
            </w:r>
          </w:p>
        </w:tc>
        <w:tc>
          <w:tcPr>
            <w:tcW w:w="887" w:type="dxa"/>
            <w:vMerge w:val="restart"/>
            <w:shd w:val="clear" w:color="auto" w:fill="FFFFFF"/>
            <w:noWrap/>
            <w:vAlign w:val="center"/>
          </w:tcPr>
          <w:p>
            <w:pPr>
              <w:pStyle w:val="10"/>
              <w:snapToGrid w:val="0"/>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每年至少一次</w:t>
            </w:r>
          </w:p>
        </w:tc>
        <w:tc>
          <w:tcPr>
            <w:tcW w:w="1559"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移动式压力容器安全技术监察规程</w:t>
            </w:r>
            <w:r>
              <w:rPr>
                <w:rFonts w:ascii="Times New Roman" w:hAnsi="Times New Roman" w:eastAsia="Times New Roman" w:cs="Times New Roman"/>
                <w:color w:val="auto"/>
                <w:sz w:val="18"/>
                <w:szCs w:val="18"/>
                <w:lang w:val="en-US" w:eastAsia="zh-CN" w:bidi="en-US"/>
              </w:rPr>
              <w:t>(TSG R</w:t>
            </w:r>
            <w:r>
              <w:rPr>
                <w:rFonts w:ascii="Times New Roman" w:hAnsi="Times New Roman" w:cs="Times New Roman"/>
                <w:color w:val="auto"/>
                <w:sz w:val="18"/>
                <w:szCs w:val="18"/>
                <w:lang w:val="en-US" w:eastAsia="zh-CN" w:bidi="en-US"/>
              </w:rPr>
              <w:t>000</w:t>
            </w:r>
            <w:r>
              <w:rPr>
                <w:rFonts w:ascii="Times New Roman" w:hAnsi="Times New Roman" w:eastAsia="Times New Roman" w:cs="Times New Roman"/>
                <w:color w:val="auto"/>
                <w:sz w:val="18"/>
                <w:szCs w:val="18"/>
                <w:lang w:val="en-US" w:eastAsia="zh-CN" w:bidi="en-US"/>
              </w:rPr>
              <w:t>5-</w:t>
            </w:r>
            <w:r>
              <w:rPr>
                <w:rFonts w:ascii="Times New Roman" w:hAnsi="Times New Roman" w:eastAsia="Times New Roman" w:cs="Times New Roman"/>
                <w:color w:val="auto"/>
                <w:sz w:val="18"/>
                <w:szCs w:val="18"/>
              </w:rPr>
              <w:t>2011)</w:t>
            </w: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5.12.2</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val="en-US" w:eastAsia="zh-CN" w:bidi="en-US"/>
              </w:rPr>
              <w:t>5.12.4</w:t>
            </w:r>
          </w:p>
        </w:tc>
        <w:tc>
          <w:tcPr>
            <w:tcW w:w="935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(4)满足</w:t>
            </w:r>
            <w:r>
              <w:rPr>
                <w:rFonts w:ascii="Times New Roman" w:hAnsi="Times New Roman" w:cs="Times New Roman"/>
                <w:color w:val="auto"/>
                <w:sz w:val="18"/>
                <w:szCs w:val="18"/>
                <w:lang w:val="en-US" w:eastAsia="zh-CN" w:bidi="en-US"/>
              </w:rPr>
              <w:t>TSG R0005-</w:t>
            </w:r>
            <w:r>
              <w:rPr>
                <w:rFonts w:ascii="Times New Roman" w:hAnsi="Times New Roman" w:cs="Times New Roman"/>
                <w:color w:val="auto"/>
                <w:sz w:val="18"/>
                <w:szCs w:val="18"/>
              </w:rPr>
              <w:t>2011中</w:t>
            </w:r>
            <w:r>
              <w:rPr>
                <w:rFonts w:ascii="Times New Roman" w:hAnsi="Times New Roman" w:cs="Times New Roman"/>
                <w:color w:val="auto"/>
                <w:sz w:val="18"/>
                <w:szCs w:val="18"/>
                <w:lang w:val="en-US" w:eastAsia="zh-CN" w:bidi="en-US"/>
              </w:rPr>
              <w:t>5.12.4</w:t>
            </w:r>
            <w:r>
              <w:rPr>
                <w:rFonts w:ascii="Times New Roman" w:hAnsi="Times New Roman" w:cs="Times New Roman"/>
                <w:color w:val="auto"/>
                <w:sz w:val="18"/>
                <w:szCs w:val="18"/>
              </w:rPr>
              <w:t>要求，且充装后即出境的临时进口罐式集装箱允许在境内充装，其他的临时进口移动式压力容器需要取得充装所在地省、直辖市或者设区的市的质监部门同意后方可在境内充装。</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符合《国际海运危险货物运输规则》的临时进口罐式集装箱(以下简称临时罐箱)的安全管理：</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对符合《国际海运危险货物运输规则》，按照该规则进行检验并且检验合格证明文件在有效期内的临时罐箱，如果卸载后或者充装后即出境,可免除</w:t>
            </w:r>
            <w:r>
              <w:rPr>
                <w:rFonts w:ascii="Times New Roman" w:hAnsi="Times New Roman" w:cs="Times New Roman"/>
                <w:color w:val="auto"/>
                <w:sz w:val="18"/>
                <w:szCs w:val="18"/>
                <w:lang w:val="en-US" w:eastAsia="zh-CN" w:bidi="en-US"/>
              </w:rPr>
              <w:t>TSG R0005-</w:t>
            </w:r>
            <w:r>
              <w:rPr>
                <w:rFonts w:ascii="Times New Roman" w:hAnsi="Times New Roman" w:cs="Times New Roman"/>
                <w:color w:val="auto"/>
                <w:sz w:val="18"/>
                <w:szCs w:val="18"/>
              </w:rPr>
              <w:t>2011中</w:t>
            </w:r>
            <w:r>
              <w:rPr>
                <w:rFonts w:ascii="Times New Roman" w:hAnsi="Times New Roman" w:cs="Times New Roman"/>
                <w:color w:val="auto"/>
                <w:sz w:val="18"/>
                <w:szCs w:val="18"/>
                <w:lang w:val="en-US" w:eastAsia="zh-CN" w:bidi="en-US"/>
              </w:rPr>
              <w:t>5.12.2,5.12.3</w:t>
            </w:r>
            <w:r>
              <w:rPr>
                <w:rFonts w:ascii="Times New Roman" w:hAnsi="Times New Roman" w:cs="Times New Roman"/>
                <w:color w:val="auto"/>
                <w:sz w:val="18"/>
                <w:szCs w:val="18"/>
              </w:rPr>
              <w:t>规定中的安全性能检验。</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临时罐箱在境内的使用单位应当自主执行检查并核对产权所在国家(或者地区)官方授权检验机构出具的检验合格证明文件，并且按照</w:t>
            </w:r>
            <w:r>
              <w:rPr>
                <w:rFonts w:ascii="Times New Roman" w:hAnsi="Times New Roman" w:cs="Times New Roman"/>
                <w:color w:val="auto"/>
                <w:sz w:val="18"/>
                <w:szCs w:val="18"/>
                <w:lang w:val="en-US" w:eastAsia="zh-CN" w:bidi="en-US"/>
              </w:rPr>
              <w:t>TSG R0005-2011</w:t>
            </w:r>
            <w:r>
              <w:rPr>
                <w:rFonts w:ascii="Times New Roman" w:hAnsi="Times New Roman" w:cs="Times New Roman"/>
                <w:color w:val="auto"/>
                <w:sz w:val="18"/>
                <w:szCs w:val="18"/>
              </w:rPr>
              <w:t>中相关要求做好日常检查和维护保养工作。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974"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运输安全要求</w:t>
            </w:r>
          </w:p>
        </w:tc>
        <w:tc>
          <w:tcPr>
            <w:tcW w:w="9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val="en-US" w:eastAsia="zh-CN" w:bidi="en-US"/>
              </w:rPr>
              <w:t>5.13</w:t>
            </w:r>
          </w:p>
        </w:tc>
        <w:tc>
          <w:tcPr>
            <w:tcW w:w="935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使用单位应当严格执行国务院有关部门的相关规定，移动式压力容器的运输过程作业安全至少还应当满足以下安全要求：</w:t>
            </w:r>
          </w:p>
          <w:p>
            <w:pPr>
              <w:pStyle w:val="10"/>
              <w:tabs>
                <w:tab w:val="left" w:pos="326"/>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(1)  </w:t>
            </w:r>
            <w:r>
              <w:rPr>
                <w:rFonts w:ascii="Times New Roman" w:hAnsi="Times New Roman" w:cs="Times New Roman"/>
                <w:color w:val="auto"/>
                <w:sz w:val="18"/>
                <w:szCs w:val="18"/>
              </w:rPr>
              <w:t>公路危险货物运输过程中，除按照有关规定配备具有驾驶人员、押运人员资格的随车人员外，还需配备具有移动式压力容器操作资格的特种设备作业人员，对运输全过程进行监护；</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(2) </w:t>
            </w:r>
            <w:r>
              <w:rPr>
                <w:rFonts w:ascii="Times New Roman" w:hAnsi="Times New Roman" w:cs="Times New Roman"/>
                <w:color w:val="auto"/>
                <w:sz w:val="18"/>
                <w:szCs w:val="18"/>
              </w:rPr>
              <w:t>运输过程中，任何操作阀门必须置于闭止状态；</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hAnsi="Times New Roman" w:cs="Times New Roman"/>
                <w:color w:val="auto"/>
                <w:sz w:val="18"/>
                <w:szCs w:val="18"/>
              </w:rPr>
              <w:t>快装接口安装盲法兰或者等效装置；</w:t>
            </w:r>
          </w:p>
          <w:p>
            <w:pPr>
              <w:pStyle w:val="10"/>
              <w:tabs>
                <w:tab w:val="left" w:pos="317"/>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(4) </w:t>
            </w:r>
            <w:r>
              <w:rPr>
                <w:rFonts w:ascii="Times New Roman" w:hAnsi="Times New Roman" w:cs="Times New Roman"/>
                <w:color w:val="auto"/>
                <w:sz w:val="18"/>
                <w:szCs w:val="18"/>
              </w:rPr>
              <w:t>充装冷冻液化气体介质的移动式压力容器，装卸间隔的时间不得超过其标态维持时间；</w:t>
            </w:r>
          </w:p>
          <w:p>
            <w:pPr>
              <w:pStyle w:val="10"/>
              <w:tabs>
                <w:tab w:val="left" w:pos="326"/>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(5) </w:t>
            </w:r>
            <w:r>
              <w:rPr>
                <w:rFonts w:ascii="Times New Roman" w:hAnsi="Times New Roman" w:cs="Times New Roman"/>
                <w:color w:val="auto"/>
                <w:sz w:val="18"/>
                <w:szCs w:val="18"/>
              </w:rPr>
              <w:t>罐式集装箱或者管束式集装箱按照规定的要求进行吊装和堆放。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571"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随车装备</w:t>
            </w:r>
          </w:p>
        </w:tc>
        <w:tc>
          <w:tcPr>
            <w:tcW w:w="9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5.14</w:t>
            </w:r>
          </w:p>
        </w:tc>
        <w:tc>
          <w:tcPr>
            <w:tcW w:w="9356" w:type="dxa"/>
            <w:shd w:val="clear" w:color="auto" w:fill="FFFFFF"/>
            <w:noWrap/>
            <w:vAlign w:val="center"/>
          </w:tcPr>
          <w:p>
            <w:pPr>
              <w:pStyle w:val="10"/>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使用单位应当为操作人员或者押运员配备日常作业必需的安全防护装备、专用工具和必要的备品、备件等，还应当根据所充装介质的危害特性随车配备必需的应急处理器材和个人防护用品。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544"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随车资料</w:t>
            </w:r>
          </w:p>
        </w:tc>
        <w:tc>
          <w:tcPr>
            <w:tcW w:w="9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5.15</w:t>
            </w:r>
          </w:p>
        </w:tc>
        <w:tc>
          <w:tcPr>
            <w:tcW w:w="935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除随车携带有关部门颁发的各种证书外，还应当携带以下文件和资料：</w:t>
            </w:r>
          </w:p>
          <w:p>
            <w:pPr>
              <w:pStyle w:val="10"/>
              <w:numPr>
                <w:ilvl w:val="0"/>
                <w:numId w:val="33"/>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《使用登记证》及电子记录卡；</w:t>
            </w:r>
          </w:p>
          <w:p>
            <w:pPr>
              <w:pStyle w:val="10"/>
              <w:numPr>
                <w:ilvl w:val="0"/>
                <w:numId w:val="33"/>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《特种设备作业人员证》和有关管理部门的从业资格证；</w:t>
            </w:r>
          </w:p>
          <w:p>
            <w:pPr>
              <w:pStyle w:val="10"/>
              <w:numPr>
                <w:ilvl w:val="0"/>
                <w:numId w:val="33"/>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液面计指示值与液体容积对照表(或者温度与压力对照表)；</w:t>
            </w:r>
          </w:p>
          <w:p>
            <w:pPr>
              <w:pStyle w:val="10"/>
              <w:numPr>
                <w:ilvl w:val="0"/>
                <w:numId w:val="33"/>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移动式压力容器装卸记录；</w:t>
            </w:r>
          </w:p>
          <w:p>
            <w:pPr>
              <w:pStyle w:val="10"/>
              <w:numPr>
                <w:ilvl w:val="0"/>
                <w:numId w:val="33"/>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事故应急专项预案。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715"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应急救援</w:t>
            </w:r>
          </w:p>
        </w:tc>
        <w:tc>
          <w:tcPr>
            <w:tcW w:w="9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5.16</w:t>
            </w:r>
          </w:p>
        </w:tc>
        <w:tc>
          <w:tcPr>
            <w:tcW w:w="9356" w:type="dxa"/>
            <w:shd w:val="clear" w:color="auto" w:fill="FFFFFF"/>
            <w:noWrap/>
            <w:vAlign w:val="center"/>
          </w:tcPr>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使用单位应当制定相应的事故应急专项预案，建立相应的应急救援组织机构，配置与之适应的应急救援装备，并且定期组织演练，演练应当有记录并进行分析总结。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711"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装卸用管使用</w:t>
            </w:r>
          </w:p>
        </w:tc>
        <w:tc>
          <w:tcPr>
            <w:tcW w:w="9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6.3</w:t>
            </w:r>
          </w:p>
        </w:tc>
        <w:tc>
          <w:tcPr>
            <w:tcW w:w="935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使用单位对装卸用管必须每年进行</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次耐压试验，试验压力为装卸用管公称压力的</w:t>
            </w:r>
            <w:r>
              <w:rPr>
                <w:rFonts w:ascii="Times New Roman" w:hAnsi="Times New Roman" w:eastAsia="Times New Roman" w:cs="Times New Roman"/>
                <w:color w:val="auto"/>
                <w:sz w:val="18"/>
                <w:szCs w:val="18"/>
                <w:lang w:val="en-US" w:eastAsia="zh-CN" w:bidi="en-US"/>
              </w:rPr>
              <w:t>1.5</w:t>
            </w:r>
            <w:r>
              <w:rPr>
                <w:rFonts w:ascii="Times New Roman" w:hAnsi="Times New Roman" w:cs="Times New Roman"/>
                <w:color w:val="auto"/>
                <w:sz w:val="18"/>
                <w:szCs w:val="18"/>
              </w:rPr>
              <w:t>倍，试验结果要有记录和试验人员的签字。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990"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日常检查和维护保养</w:t>
            </w:r>
          </w:p>
        </w:tc>
        <w:tc>
          <w:tcPr>
            <w:tcW w:w="956"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随车作业人员</w:t>
            </w:r>
          </w:p>
        </w:tc>
        <w:tc>
          <w:tcPr>
            <w:tcW w:w="8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每次出车前、停车后和装卸前后</w:t>
            </w: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5.7</w:t>
            </w:r>
          </w:p>
        </w:tc>
        <w:tc>
          <w:tcPr>
            <w:tcW w:w="935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使用单位应当做好移动式压力容器的</w:t>
            </w:r>
            <w:r>
              <w:rPr>
                <w:rFonts w:ascii="Times New Roman" w:hAnsi="Times New Roman" w:cs="Times New Roman"/>
                <w:color w:val="auto"/>
                <w:sz w:val="18"/>
                <w:szCs w:val="18"/>
                <w:lang w:eastAsia="zh-CN"/>
              </w:rPr>
              <w:t>日</w:t>
            </w:r>
            <w:r>
              <w:rPr>
                <w:rFonts w:ascii="Times New Roman" w:hAnsi="Times New Roman" w:cs="Times New Roman"/>
                <w:color w:val="auto"/>
                <w:sz w:val="18"/>
                <w:szCs w:val="18"/>
              </w:rPr>
              <w:t>常检查和维护保养与定期自行检查工作。日常检查和维护保养包括随车作业人员对移动式压力容器的每次出车前、停车后和装卸前后的检查。定期自行检查由使用单位的安全管理人员负责组织，至少每月进行一次。对日常检查和维护保养与定期自行检查中发现的隐患，应当及时妥善处理。日常检查和维护保养与定期自行检查应当进行记录。</w:t>
            </w:r>
          </w:p>
        </w:tc>
      </w:tr>
    </w:tbl>
    <w:p>
      <w:pPr>
        <w:snapToGrid w:val="0"/>
        <w:rPr>
          <w:rFonts w:ascii="Times New Roman" w:hAnsi="Times New Roman" w:eastAsia="宋体" w:cs="Times New Roman"/>
          <w:color w:val="auto"/>
          <w:sz w:val="18"/>
          <w:szCs w:val="18"/>
        </w:rPr>
      </w:pPr>
    </w:p>
    <w:p>
      <w:pPr>
        <w:snapToGrid w:val="0"/>
        <w:rPr>
          <w:rFonts w:ascii="Times New Roman" w:hAnsi="Times New Roman" w:eastAsia="宋体" w:cs="Times New Roman"/>
          <w:color w:val="auto"/>
          <w:sz w:val="18"/>
          <w:szCs w:val="18"/>
        </w:rPr>
      </w:pPr>
    </w:p>
    <w:tbl>
      <w:tblPr>
        <w:tblStyle w:val="8"/>
        <w:tblW w:w="14611"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61"/>
        <w:gridCol w:w="956"/>
        <w:gridCol w:w="887"/>
        <w:gridCol w:w="1559"/>
        <w:gridCol w:w="992"/>
        <w:gridCol w:w="93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39" w:hRule="atLeast"/>
        </w:trPr>
        <w:tc>
          <w:tcPr>
            <w:tcW w:w="861"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排查内容</w:t>
            </w:r>
          </w:p>
        </w:tc>
        <w:tc>
          <w:tcPr>
            <w:tcW w:w="956"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排查人</w:t>
            </w:r>
          </w:p>
        </w:tc>
        <w:tc>
          <w:tcPr>
            <w:tcW w:w="887"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排查时间</w:t>
            </w:r>
          </w:p>
        </w:tc>
        <w:tc>
          <w:tcPr>
            <w:tcW w:w="2551" w:type="dxa"/>
            <w:gridSpan w:val="2"/>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val="en-US" w:eastAsia="zh-CN"/>
              </w:rPr>
            </w:pPr>
            <w:r>
              <w:rPr>
                <w:rFonts w:ascii="Times New Roman" w:hAnsi="黑体" w:eastAsia="黑体" w:cs="Times New Roman"/>
                <w:b/>
                <w:bCs w:val="0"/>
                <w:color w:val="auto"/>
                <w:sz w:val="18"/>
                <w:szCs w:val="18"/>
                <w:lang w:val="en-US" w:eastAsia="zh-CN"/>
              </w:rPr>
              <w:t>排查依据</w:t>
            </w:r>
          </w:p>
        </w:tc>
        <w:tc>
          <w:tcPr>
            <w:tcW w:w="9356"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92" w:hRule="exact"/>
        </w:trPr>
        <w:tc>
          <w:tcPr>
            <w:tcW w:w="86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1559"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法规标准</w:t>
            </w:r>
          </w:p>
        </w:tc>
        <w:tc>
          <w:tcPr>
            <w:tcW w:w="992"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适用条款</w:t>
            </w:r>
          </w:p>
        </w:tc>
        <w:tc>
          <w:tcPr>
            <w:tcW w:w="9356"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694"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日常检查和维护保养</w:t>
            </w:r>
          </w:p>
        </w:tc>
        <w:tc>
          <w:tcPr>
            <w:tcW w:w="956"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随车作业人员</w:t>
            </w:r>
          </w:p>
        </w:tc>
        <w:tc>
          <w:tcPr>
            <w:tcW w:w="887" w:type="dxa"/>
            <w:shd w:val="clear" w:color="auto" w:fill="FFFFFF"/>
            <w:noWrap/>
            <w:vAlign w:val="center"/>
          </w:tcPr>
          <w:p>
            <w:pPr>
              <w:pStyle w:val="10"/>
              <w:snapToGrid w:val="0"/>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每次出车前、停车后和装卸前后</w:t>
            </w:r>
          </w:p>
        </w:tc>
        <w:tc>
          <w:tcPr>
            <w:tcW w:w="1559"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移动式压力容器安全技术监察规程</w:t>
            </w:r>
            <w:r>
              <w:rPr>
                <w:rFonts w:ascii="Times New Roman" w:hAnsi="Times New Roman" w:eastAsia="Times New Roman" w:cs="Times New Roman"/>
                <w:color w:val="auto"/>
                <w:sz w:val="18"/>
                <w:szCs w:val="18"/>
                <w:lang w:val="en-US" w:eastAsia="zh-CN" w:bidi="en-US"/>
              </w:rPr>
              <w:t>(TSG R</w:t>
            </w:r>
            <w:r>
              <w:rPr>
                <w:rFonts w:ascii="Times New Roman" w:hAnsi="Times New Roman" w:cs="Times New Roman"/>
                <w:color w:val="auto"/>
                <w:sz w:val="18"/>
                <w:szCs w:val="18"/>
                <w:lang w:val="en-US" w:eastAsia="zh-CN" w:bidi="en-US"/>
              </w:rPr>
              <w:t>000</w:t>
            </w:r>
            <w:r>
              <w:rPr>
                <w:rFonts w:ascii="Times New Roman" w:hAnsi="Times New Roman" w:eastAsia="Times New Roman" w:cs="Times New Roman"/>
                <w:color w:val="auto"/>
                <w:sz w:val="18"/>
                <w:szCs w:val="18"/>
                <w:lang w:val="en-US" w:eastAsia="zh-CN" w:bidi="en-US"/>
              </w:rPr>
              <w:t>5-</w:t>
            </w:r>
            <w:r>
              <w:rPr>
                <w:rFonts w:ascii="Times New Roman" w:hAnsi="Times New Roman" w:eastAsia="Times New Roman" w:cs="Times New Roman"/>
                <w:color w:val="auto"/>
                <w:sz w:val="18"/>
                <w:szCs w:val="18"/>
              </w:rPr>
              <w:t>2011)</w:t>
            </w:r>
          </w:p>
        </w:tc>
        <w:tc>
          <w:tcPr>
            <w:tcW w:w="992"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5.7</w:t>
            </w:r>
          </w:p>
        </w:tc>
        <w:tc>
          <w:tcPr>
            <w:tcW w:w="9356" w:type="dxa"/>
            <w:vMerge w:val="restart"/>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日常检查和维护保养与定期自行检查至少包括以下内容：</w:t>
            </w:r>
          </w:p>
          <w:p>
            <w:pPr>
              <w:pStyle w:val="10"/>
              <w:tabs>
                <w:tab w:val="left" w:pos="317"/>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lang w:eastAsia="zh-CN"/>
              </w:rPr>
              <w:t xml:space="preserve">) </w:t>
            </w:r>
            <w:r>
              <w:rPr>
                <w:rFonts w:ascii="Times New Roman" w:hAnsi="Times New Roman" w:cs="Times New Roman"/>
                <w:color w:val="auto"/>
                <w:sz w:val="18"/>
                <w:szCs w:val="18"/>
              </w:rPr>
              <w:t>罐体或者气瓶涂层及漆色是否完好，有无脱落等；</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bidi="en-US"/>
              </w:rPr>
              <w:t>(</w:t>
            </w:r>
            <w:r>
              <w:rPr>
                <w:rFonts w:ascii="Times New Roman" w:hAnsi="Times New Roman" w:cs="Times New Roman"/>
                <w:color w:val="auto"/>
                <w:sz w:val="18"/>
                <w:szCs w:val="18"/>
                <w:lang w:eastAsia="zh-CN" w:bidi="en-US"/>
              </w:rPr>
              <w:t>2</w:t>
            </w:r>
            <w:r>
              <w:rPr>
                <w:rFonts w:ascii="Times New Roman" w:hAnsi="Times New Roman" w:cs="Times New Roman"/>
                <w:color w:val="auto"/>
                <w:sz w:val="18"/>
                <w:szCs w:val="18"/>
                <w:lang w:bidi="en-US"/>
              </w:rPr>
              <w:t>)</w:t>
            </w:r>
            <w:r>
              <w:rPr>
                <w:rFonts w:ascii="Times New Roman" w:hAnsi="Times New Roman" w:cs="Times New Roman"/>
                <w:color w:val="auto"/>
                <w:sz w:val="18"/>
                <w:szCs w:val="18"/>
              </w:rPr>
              <w:t>罐体保温层、真空绝热层是否完好；</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hAnsi="Times New Roman" w:cs="Times New Roman"/>
                <w:color w:val="auto"/>
                <w:sz w:val="18"/>
                <w:szCs w:val="18"/>
              </w:rPr>
              <w:t>罐体或者气瓶外部的标志是否清晰；</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bidi="en-US"/>
              </w:rPr>
              <w:t>(</w:t>
            </w:r>
            <w:r>
              <w:rPr>
                <w:rFonts w:ascii="Times New Roman" w:hAnsi="Times New Roman" w:cs="Times New Roman"/>
                <w:color w:val="auto"/>
                <w:sz w:val="18"/>
                <w:szCs w:val="18"/>
                <w:lang w:eastAsia="zh-CN" w:bidi="en-US"/>
              </w:rPr>
              <w:t>4</w:t>
            </w:r>
            <w:r>
              <w:rPr>
                <w:rFonts w:ascii="Times New Roman" w:hAnsi="Times New Roman" w:cs="Times New Roman"/>
                <w:color w:val="auto"/>
                <w:sz w:val="18"/>
                <w:szCs w:val="18"/>
                <w:lang w:bidi="en-US"/>
              </w:rPr>
              <w:t>)</w:t>
            </w:r>
            <w:r>
              <w:rPr>
                <w:rFonts w:ascii="Times New Roman" w:hAnsi="Times New Roman" w:cs="Times New Roman"/>
                <w:color w:val="auto"/>
                <w:sz w:val="18"/>
                <w:szCs w:val="18"/>
              </w:rPr>
              <w:t>紧急切断阀以及相关的操作阀门是否置于闭止状态；</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(5) </w:t>
            </w:r>
            <w:r>
              <w:rPr>
                <w:rFonts w:ascii="Times New Roman" w:hAnsi="Times New Roman" w:cs="Times New Roman"/>
                <w:color w:val="auto"/>
                <w:sz w:val="18"/>
                <w:szCs w:val="18"/>
              </w:rPr>
              <w:t>安全附件是否完好；</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(6) </w:t>
            </w:r>
            <w:r>
              <w:rPr>
                <w:rFonts w:ascii="Times New Roman" w:hAnsi="Times New Roman" w:cs="Times New Roman"/>
                <w:color w:val="auto"/>
                <w:sz w:val="18"/>
                <w:szCs w:val="18"/>
              </w:rPr>
              <w:t>装卸附件是否完好；</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(7) </w:t>
            </w:r>
            <w:r>
              <w:rPr>
                <w:rFonts w:ascii="Times New Roman" w:hAnsi="Times New Roman" w:cs="Times New Roman"/>
                <w:color w:val="auto"/>
                <w:sz w:val="18"/>
                <w:szCs w:val="18"/>
              </w:rPr>
              <w:t>紧固件的连接是否牢固可靠、是否有松动现象；</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(8) </w:t>
            </w:r>
            <w:r>
              <w:rPr>
                <w:rFonts w:ascii="Times New Roman" w:hAnsi="Times New Roman" w:cs="Times New Roman"/>
                <w:color w:val="auto"/>
                <w:sz w:val="18"/>
                <w:szCs w:val="18"/>
              </w:rPr>
              <w:t>罐体或者气瓶内压力、温度是否异常及有无明显的波动；</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(9) </w:t>
            </w:r>
            <w:r>
              <w:rPr>
                <w:rFonts w:ascii="Times New Roman" w:hAnsi="Times New Roman" w:cs="Times New Roman"/>
                <w:color w:val="auto"/>
                <w:sz w:val="18"/>
                <w:szCs w:val="18"/>
              </w:rPr>
              <w:t>罐体或者气瓶各密封面有无泄漏；</w:t>
            </w:r>
          </w:p>
          <w:p>
            <w:pPr>
              <w:pStyle w:val="10"/>
              <w:tabs>
                <w:tab w:val="left" w:pos="413"/>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(10) </w:t>
            </w:r>
            <w:r>
              <w:rPr>
                <w:rFonts w:ascii="Times New Roman" w:hAnsi="Times New Roman" w:cs="Times New Roman"/>
                <w:color w:val="auto"/>
                <w:sz w:val="18"/>
                <w:szCs w:val="18"/>
              </w:rPr>
              <w:t>随车配备的应急处理器材、防护用品及专用工具、备品备件是否齐全，是否完好有效；</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lang w:eastAsia="zh-CN"/>
              </w:rPr>
              <w:t xml:space="preserve">1) </w:t>
            </w:r>
            <w:r>
              <w:rPr>
                <w:rFonts w:ascii="Times New Roman" w:hAnsi="Times New Roman" w:cs="Times New Roman"/>
                <w:color w:val="auto"/>
                <w:sz w:val="18"/>
                <w:szCs w:val="18"/>
              </w:rPr>
              <w:t>罐体或者气瓶与走行装置或者框架的连接紧固装置是否完好、牢固。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278"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定期自行检查</w:t>
            </w:r>
          </w:p>
        </w:tc>
        <w:tc>
          <w:tcPr>
            <w:tcW w:w="956"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安全管理人员</w:t>
            </w:r>
          </w:p>
        </w:tc>
        <w:tc>
          <w:tcPr>
            <w:tcW w:w="887" w:type="dxa"/>
            <w:shd w:val="clear" w:color="auto" w:fill="FFFFFF"/>
            <w:noWrap/>
            <w:vAlign w:val="center"/>
          </w:tcPr>
          <w:p>
            <w:pPr>
              <w:pStyle w:val="10"/>
              <w:snapToGrid w:val="0"/>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至少每月进行一次</w:t>
            </w: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356" w:type="dxa"/>
            <w:vMerge w:val="continue"/>
            <w:shd w:val="clear" w:color="auto" w:fill="FFFFFF"/>
            <w:noWrap/>
            <w:vAlign w:val="center"/>
          </w:tcPr>
          <w:p>
            <w:pPr>
              <w:pStyle w:val="10"/>
              <w:tabs>
                <w:tab w:val="left" w:pos="326"/>
              </w:tabs>
              <w:snapToGrid w:val="0"/>
              <w:spacing w:line="240" w:lineRule="auto"/>
              <w:rPr>
                <w:rFonts w:ascii="Times New Roman" w:hAnsi="Times New Roman" w:cs="Times New Roman"/>
                <w:color w:val="auto"/>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281"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年度检验(汽车罐车、铁路罐车和罐式集装箱)</w:t>
            </w:r>
          </w:p>
        </w:tc>
        <w:tc>
          <w:tcPr>
            <w:tcW w:w="956"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检验机构有资质的检验人员</w:t>
            </w:r>
          </w:p>
        </w:tc>
        <w:tc>
          <w:tcPr>
            <w:tcW w:w="887" w:type="dxa"/>
            <w:shd w:val="clear" w:color="auto" w:fill="FFFFFF"/>
            <w:noWrap/>
            <w:vAlign w:val="center"/>
          </w:tcPr>
          <w:p>
            <w:pPr>
              <w:pStyle w:val="1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每年至少一次</w:t>
            </w: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8.1</w:t>
            </w:r>
          </w:p>
        </w:tc>
        <w:tc>
          <w:tcPr>
            <w:tcW w:w="9356" w:type="dxa"/>
            <w:vMerge w:val="restart"/>
            <w:shd w:val="clear" w:color="auto" w:fill="FFFFFF"/>
            <w:noWrap/>
            <w:vAlign w:val="center"/>
          </w:tcPr>
          <w:p>
            <w:pPr>
              <w:pStyle w:val="10"/>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使用单位应当于移动式压力容器定期检验有效期届满前</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个月向检验机构提出定期检验要求。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258"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全面检验(汽车罐车、铁路罐车和罐式集装箱)</w:t>
            </w:r>
          </w:p>
        </w:tc>
        <w:tc>
          <w:tcPr>
            <w:tcW w:w="9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由检验人员根据安全状况等级确定</w:t>
            </w: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p>
        </w:tc>
        <w:tc>
          <w:tcPr>
            <w:tcW w:w="9356" w:type="dxa"/>
            <w:vMerge w:val="continue"/>
            <w:shd w:val="clear" w:color="auto" w:fill="FFFFFF"/>
            <w:noWrap/>
            <w:vAlign w:val="center"/>
          </w:tcPr>
          <w:p>
            <w:pPr>
              <w:pStyle w:val="10"/>
              <w:tabs>
                <w:tab w:val="left" w:pos="317"/>
              </w:tabs>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134" w:hRule="exact"/>
        </w:trPr>
        <w:tc>
          <w:tcPr>
            <w:tcW w:w="861"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年度检查</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(长管拖车、管束式集装箱)</w:t>
            </w:r>
          </w:p>
        </w:tc>
        <w:tc>
          <w:tcPr>
            <w:tcW w:w="956"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使用单位或有相应定期检验资质的检验机构的人员</w:t>
            </w:r>
          </w:p>
        </w:tc>
        <w:tc>
          <w:tcPr>
            <w:tcW w:w="887"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每年至少一次(定期检验年度可免年度检查)</w:t>
            </w:r>
          </w:p>
        </w:tc>
        <w:tc>
          <w:tcPr>
            <w:tcW w:w="1559" w:type="dxa"/>
            <w:vMerge w:val="restart"/>
            <w:shd w:val="clear" w:color="auto" w:fill="FFFFFF"/>
            <w:noWrap/>
            <w:vAlign w:val="center"/>
          </w:tcPr>
          <w:p>
            <w:pPr>
              <w:snapToGrid w:val="0"/>
              <w:jc w:val="center"/>
              <w:rPr>
                <w:rFonts w:ascii="Times New Roman" w:hAnsi="Times New Roman" w:eastAsia="宋体" w:cs="Times New Roman"/>
                <w:color w:val="auto"/>
                <w:sz w:val="18"/>
                <w:szCs w:val="18"/>
                <w:lang w:val="zh-TW" w:eastAsia="zh-TW" w:bidi="zh-TW"/>
              </w:rPr>
            </w:pPr>
            <w:r>
              <w:rPr>
                <w:rFonts w:ascii="Times New Roman" w:hAnsi="Times New Roman" w:eastAsia="宋体" w:cs="Times New Roman"/>
                <w:color w:val="auto"/>
                <w:sz w:val="18"/>
                <w:szCs w:val="18"/>
                <w:lang w:val="zh-TW" w:eastAsia="zh-TW" w:bidi="zh-TW"/>
              </w:rPr>
              <w:t>移动式压力容器安全技术监察规程 (TSG R0005-2011)第2号修改单</w:t>
            </w: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5.18</w:t>
            </w:r>
          </w:p>
        </w:tc>
        <w:tc>
          <w:tcPr>
            <w:tcW w:w="935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年度检查</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使用单位每年对所使用的长管拖车、管束式集装箱至少进行</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次年度检查，其年度检查的专项要求见</w:t>
            </w:r>
            <w:r>
              <w:rPr>
                <w:rFonts w:ascii="Times New Roman" w:hAnsi="Times New Roman" w:eastAsia="Times New Roman" w:cs="Times New Roman"/>
                <w:color w:val="auto"/>
                <w:sz w:val="18"/>
                <w:szCs w:val="18"/>
                <w:lang w:val="en-US" w:eastAsia="zh-CN" w:bidi="en-US"/>
              </w:rPr>
              <w:t>TSG R0005-2011</w:t>
            </w:r>
            <w:r>
              <w:rPr>
                <w:rFonts w:ascii="Times New Roman" w:hAnsi="Times New Roman" w:cs="Times New Roman"/>
                <w:color w:val="auto"/>
                <w:sz w:val="18"/>
                <w:szCs w:val="18"/>
              </w:rPr>
              <w:t>中附件</w:t>
            </w:r>
            <w:r>
              <w:rPr>
                <w:rFonts w:ascii="Times New Roman" w:hAnsi="Times New Roman" w:eastAsia="Times New Roman" w:cs="Times New Roman"/>
                <w:color w:val="auto"/>
                <w:sz w:val="18"/>
                <w:szCs w:val="18"/>
                <w:lang w:val="en-US" w:eastAsia="zh-CN" w:bidi="en-US"/>
              </w:rPr>
              <w:t>J</w:t>
            </w:r>
            <w:r>
              <w:rPr>
                <w:rFonts w:ascii="Times New Roman" w:hAnsi="Times New Roman" w:cs="Times New Roman"/>
                <w:color w:val="auto"/>
                <w:sz w:val="18"/>
                <w:szCs w:val="18"/>
                <w:lang w:val="en-US" w:eastAsia="zh-CN" w:bidi="en-US"/>
              </w:rPr>
              <w:t>。</w:t>
            </w:r>
            <w:r>
              <w:rPr>
                <w:rFonts w:ascii="Times New Roman" w:hAnsi="Times New Roman" w:cs="Times New Roman"/>
                <w:color w:val="auto"/>
                <w:sz w:val="18"/>
                <w:szCs w:val="18"/>
              </w:rPr>
              <w:t>当年度进行定期检验的，可不再进行年度检查，年度检查工作完成后，应当进行使用安全状况分析，并且对年度检查中发现的隐患及时消除。年度检查工作可以由压力容器使用单位进行，也可以委托具有移动式压力容器定期检验资质的特种设备检验检测机构进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703" w:hRule="exact"/>
        </w:trPr>
        <w:tc>
          <w:tcPr>
            <w:tcW w:w="86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rPr>
              <w:t>附件</w:t>
            </w:r>
            <w:r>
              <w:rPr>
                <w:rFonts w:ascii="Times New Roman" w:hAnsi="Times New Roman" w:eastAsia="Times New Roman" w:cs="Times New Roman"/>
                <w:color w:val="auto"/>
                <w:sz w:val="18"/>
                <w:szCs w:val="18"/>
                <w:lang w:val="en-US" w:eastAsia="en-US" w:bidi="en-US"/>
              </w:rPr>
              <w:t>J</w:t>
            </w:r>
          </w:p>
        </w:tc>
        <w:tc>
          <w:tcPr>
            <w:tcW w:w="935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长管拖车、管束式集装箱年度检查专项要求：</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J1</w:t>
            </w:r>
            <w:r>
              <w:rPr>
                <w:rFonts w:ascii="Times New Roman" w:hAnsi="Times New Roman" w:cs="Times New Roman"/>
                <w:color w:val="auto"/>
                <w:sz w:val="18"/>
                <w:szCs w:val="18"/>
              </w:rPr>
              <w:t>安全管理情况检查至少包括以下内容：</w:t>
            </w:r>
          </w:p>
          <w:p>
            <w:pPr>
              <w:pStyle w:val="10"/>
              <w:numPr>
                <w:ilvl w:val="0"/>
                <w:numId w:val="34"/>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安全管理制度和安全操作规程是否齐全有效；</w:t>
            </w:r>
          </w:p>
          <w:p>
            <w:pPr>
              <w:pStyle w:val="10"/>
              <w:numPr>
                <w:ilvl w:val="0"/>
                <w:numId w:val="34"/>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安全技术规范规定的设计文件、竣工图样、产品合格证(含产品数据表)、产品质量证明书、监督检验证书以及安装、改造、维修资料等是否完整；</w:t>
            </w:r>
          </w:p>
          <w:p>
            <w:pPr>
              <w:pStyle w:val="10"/>
              <w:numPr>
                <w:ilvl w:val="0"/>
                <w:numId w:val="34"/>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《特种设备使用登记表》和《使用登记证》是否与实际相符；</w:t>
            </w:r>
          </w:p>
          <w:p>
            <w:pPr>
              <w:pStyle w:val="10"/>
              <w:numPr>
                <w:ilvl w:val="0"/>
                <w:numId w:val="34"/>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压力容器作业人员是否持证上岗；</w:t>
            </w:r>
          </w:p>
        </w:tc>
      </w:tr>
    </w:tbl>
    <w:p>
      <w:pPr>
        <w:snapToGrid w:val="0"/>
        <w:rPr>
          <w:rFonts w:ascii="Times New Roman" w:hAnsi="Times New Roman" w:eastAsia="宋体" w:cs="Times New Roman"/>
          <w:color w:val="auto"/>
          <w:sz w:val="18"/>
          <w:szCs w:val="18"/>
        </w:rPr>
      </w:pPr>
    </w:p>
    <w:p>
      <w:pPr>
        <w:snapToGrid w:val="0"/>
        <w:rPr>
          <w:rFonts w:ascii="Times New Roman" w:hAnsi="Times New Roman" w:eastAsia="宋体" w:cs="Times New Roman"/>
          <w:color w:val="auto"/>
          <w:sz w:val="18"/>
          <w:szCs w:val="18"/>
        </w:rPr>
      </w:pPr>
    </w:p>
    <w:tbl>
      <w:tblPr>
        <w:tblStyle w:val="8"/>
        <w:tblW w:w="14611"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61"/>
        <w:gridCol w:w="956"/>
        <w:gridCol w:w="887"/>
        <w:gridCol w:w="1559"/>
        <w:gridCol w:w="992"/>
        <w:gridCol w:w="93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39" w:hRule="atLeast"/>
        </w:trPr>
        <w:tc>
          <w:tcPr>
            <w:tcW w:w="861"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排查内容</w:t>
            </w:r>
          </w:p>
        </w:tc>
        <w:tc>
          <w:tcPr>
            <w:tcW w:w="956"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排查人</w:t>
            </w:r>
          </w:p>
        </w:tc>
        <w:tc>
          <w:tcPr>
            <w:tcW w:w="887"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排查时间</w:t>
            </w:r>
          </w:p>
        </w:tc>
        <w:tc>
          <w:tcPr>
            <w:tcW w:w="2551" w:type="dxa"/>
            <w:gridSpan w:val="2"/>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val="en-US" w:eastAsia="zh-CN"/>
              </w:rPr>
            </w:pPr>
            <w:r>
              <w:rPr>
                <w:rFonts w:ascii="Times New Roman" w:hAnsi="黑体" w:eastAsia="黑体" w:cs="Times New Roman"/>
                <w:b/>
                <w:bCs w:val="0"/>
                <w:color w:val="auto"/>
                <w:sz w:val="18"/>
                <w:szCs w:val="18"/>
                <w:lang w:val="en-US" w:eastAsia="zh-CN"/>
              </w:rPr>
              <w:t>排查依据</w:t>
            </w:r>
          </w:p>
        </w:tc>
        <w:tc>
          <w:tcPr>
            <w:tcW w:w="9356"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92" w:hRule="exact"/>
        </w:trPr>
        <w:tc>
          <w:tcPr>
            <w:tcW w:w="86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1559"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法规标准</w:t>
            </w:r>
          </w:p>
        </w:tc>
        <w:tc>
          <w:tcPr>
            <w:tcW w:w="992"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适用条款</w:t>
            </w:r>
          </w:p>
        </w:tc>
        <w:tc>
          <w:tcPr>
            <w:tcW w:w="9356"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8510" w:hRule="atLeas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年度检查</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(长管拖车、管束式集装箱)</w:t>
            </w:r>
          </w:p>
        </w:tc>
        <w:tc>
          <w:tcPr>
            <w:tcW w:w="956"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使用单位或有相应定期检验资质的检验机构的人员</w:t>
            </w:r>
          </w:p>
        </w:tc>
        <w:tc>
          <w:tcPr>
            <w:tcW w:w="8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每年至少一次(定期检验年度可免年度检查)</w:t>
            </w:r>
          </w:p>
        </w:tc>
        <w:tc>
          <w:tcPr>
            <w:tcW w:w="15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移动式压力容器安全技术监察规程</w:t>
            </w:r>
            <w:r>
              <w:rPr>
                <w:rFonts w:ascii="Times New Roman" w:hAnsi="Times New Roman" w:eastAsia="Times New Roman" w:cs="Times New Roman"/>
                <w:color w:val="auto"/>
                <w:sz w:val="18"/>
                <w:szCs w:val="18"/>
                <w:lang w:val="en-US" w:eastAsia="zh-CN" w:bidi="en-US"/>
              </w:rPr>
              <w:t>(TSG R</w:t>
            </w:r>
            <w:r>
              <w:rPr>
                <w:rFonts w:ascii="Times New Roman" w:hAnsi="Times New Roman" w:cs="Times New Roman"/>
                <w:color w:val="auto"/>
                <w:sz w:val="18"/>
                <w:szCs w:val="18"/>
                <w:lang w:val="en-US" w:eastAsia="zh-CN" w:bidi="en-US"/>
              </w:rPr>
              <w:t>000</w:t>
            </w:r>
            <w:r>
              <w:rPr>
                <w:rFonts w:ascii="Times New Roman" w:hAnsi="Times New Roman" w:eastAsia="Times New Roman" w:cs="Times New Roman"/>
                <w:color w:val="auto"/>
                <w:sz w:val="18"/>
                <w:szCs w:val="18"/>
                <w:lang w:val="en-US" w:eastAsia="zh-CN" w:bidi="en-US"/>
              </w:rPr>
              <w:t>5-</w:t>
            </w:r>
            <w:r>
              <w:rPr>
                <w:rFonts w:ascii="Times New Roman" w:hAnsi="Times New Roman" w:eastAsia="Times New Roman" w:cs="Times New Roman"/>
                <w:color w:val="auto"/>
                <w:sz w:val="18"/>
                <w:szCs w:val="18"/>
              </w:rPr>
              <w:t>2011)</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第2号修改单</w:t>
            </w: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附件</w:t>
            </w:r>
            <w:r>
              <w:rPr>
                <w:rFonts w:ascii="Times New Roman" w:hAnsi="Times New Roman" w:eastAsia="Times New Roman" w:cs="Times New Roman"/>
                <w:color w:val="auto"/>
                <w:sz w:val="18"/>
                <w:szCs w:val="18"/>
                <w:lang w:val="en-US" w:eastAsia="en-US" w:bidi="en-US"/>
              </w:rPr>
              <w:t>J</w:t>
            </w:r>
          </w:p>
        </w:tc>
        <w:tc>
          <w:tcPr>
            <w:tcW w:w="9356" w:type="dxa"/>
            <w:shd w:val="clear" w:color="auto" w:fill="FFFFFF"/>
            <w:noWrap/>
            <w:vAlign w:val="center"/>
          </w:tcPr>
          <w:p>
            <w:pPr>
              <w:pStyle w:val="10"/>
              <w:numPr>
                <w:ilvl w:val="0"/>
                <w:numId w:val="34"/>
              </w:numPr>
              <w:tabs>
                <w:tab w:val="left" w:pos="35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日常维护保养、运行记录、定期安全检查记录是否符合要求；</w:t>
            </w:r>
          </w:p>
          <w:p>
            <w:pPr>
              <w:pStyle w:val="10"/>
              <w:numPr>
                <w:ilvl w:val="0"/>
                <w:numId w:val="34"/>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年度检查、定期检验报告是否齐全，检查、检验报告中所提出的问题是否得到解决；</w:t>
            </w:r>
          </w:p>
          <w:p>
            <w:pPr>
              <w:pStyle w:val="10"/>
              <w:numPr>
                <w:ilvl w:val="0"/>
                <w:numId w:val="34"/>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安全附件校验、修理和更换记录是否齐全真实；</w:t>
            </w:r>
          </w:p>
          <w:p>
            <w:pPr>
              <w:pStyle w:val="10"/>
              <w:numPr>
                <w:ilvl w:val="0"/>
                <w:numId w:val="34"/>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装卸记录是否齐全；</w:t>
            </w:r>
          </w:p>
          <w:p>
            <w:pPr>
              <w:pStyle w:val="10"/>
              <w:numPr>
                <w:ilvl w:val="0"/>
                <w:numId w:val="34"/>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是否有应急预案和演练记录；</w:t>
            </w:r>
          </w:p>
          <w:p>
            <w:pPr>
              <w:pStyle w:val="10"/>
              <w:numPr>
                <w:ilvl w:val="0"/>
                <w:numId w:val="34"/>
              </w:numPr>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是否对事故、故障情况进行了记录。</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J2</w:t>
            </w:r>
            <w:r>
              <w:rPr>
                <w:rFonts w:ascii="Times New Roman" w:hAnsi="Times New Roman" w:cs="Times New Roman"/>
                <w:color w:val="auto"/>
                <w:sz w:val="18"/>
                <w:szCs w:val="18"/>
              </w:rPr>
              <w:t>气瓶检查</w:t>
            </w:r>
          </w:p>
          <w:p>
            <w:pPr>
              <w:pStyle w:val="10"/>
              <w:numPr>
                <w:ilvl w:val="0"/>
                <w:numId w:val="35"/>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核实拖车产品铭牌、逐只核实气瓶制造标志是否符合要求；</w:t>
            </w:r>
          </w:p>
          <w:p>
            <w:pPr>
              <w:pStyle w:val="10"/>
              <w:numPr>
                <w:ilvl w:val="0"/>
                <w:numId w:val="35"/>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逐只检查气瓶外部，有无裂纹、腐蚀、油漆剥落、凹陷、变形、鼓包和机械接触损伤等；</w:t>
            </w:r>
          </w:p>
          <w:p>
            <w:pPr>
              <w:pStyle w:val="10"/>
              <w:numPr>
                <w:ilvl w:val="0"/>
                <w:numId w:val="35"/>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使用木锤或者重约</w:t>
            </w:r>
            <w:r>
              <w:rPr>
                <w:rFonts w:ascii="Times New Roman" w:hAnsi="Times New Roman" w:eastAsia="Times New Roman" w:cs="Times New Roman"/>
                <w:color w:val="auto"/>
                <w:sz w:val="18"/>
                <w:szCs w:val="18"/>
              </w:rPr>
              <w:t xml:space="preserve">250 </w:t>
            </w:r>
            <w:r>
              <w:rPr>
                <w:rFonts w:ascii="Times New Roman" w:hAnsi="Times New Roman" w:eastAsia="Times New Roman" w:cs="Times New Roman"/>
                <w:color w:val="auto"/>
                <w:sz w:val="18"/>
                <w:szCs w:val="18"/>
                <w:lang w:val="en-US" w:eastAsia="zh-CN" w:bidi="en-US"/>
              </w:rPr>
              <w:t>g</w:t>
            </w:r>
            <w:r>
              <w:rPr>
                <w:rFonts w:ascii="Times New Roman" w:hAnsi="Times New Roman" w:cs="Times New Roman"/>
                <w:color w:val="auto"/>
                <w:sz w:val="18"/>
                <w:szCs w:val="18"/>
              </w:rPr>
              <w:t>的铜锤轻击瓶壁，逐只对气瓶进行音响检查是否有异常情况；</w:t>
            </w:r>
          </w:p>
          <w:p>
            <w:pPr>
              <w:pStyle w:val="10"/>
              <w:numPr>
                <w:ilvl w:val="0"/>
                <w:numId w:val="35"/>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检查充装介质的分析报告，腐蚀性介质的残液分析报告等是否符合要求。</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J3</w:t>
            </w:r>
            <w:r>
              <w:rPr>
                <w:rFonts w:ascii="Times New Roman" w:hAnsi="Times New Roman" w:cs="Times New Roman"/>
                <w:color w:val="auto"/>
                <w:sz w:val="18"/>
                <w:szCs w:val="18"/>
              </w:rPr>
              <w:t>附件检查</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J3.1</w:t>
            </w:r>
            <w:r>
              <w:rPr>
                <w:rFonts w:ascii="Times New Roman" w:hAnsi="Times New Roman" w:cs="Times New Roman"/>
                <w:color w:val="auto"/>
                <w:sz w:val="18"/>
                <w:szCs w:val="18"/>
              </w:rPr>
              <w:t>气瓶端塞</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检查有无变形、裂纹或者其他机械接触损伤。</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J3.2</w:t>
            </w:r>
            <w:r>
              <w:rPr>
                <w:rFonts w:ascii="Times New Roman" w:hAnsi="Times New Roman" w:cs="Times New Roman"/>
                <w:color w:val="auto"/>
                <w:sz w:val="18"/>
                <w:szCs w:val="18"/>
              </w:rPr>
              <w:t>管路和阀门</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检查金属管路有无变形、裂纹、凹陷、扭曲或者其他机械接触损伤；</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检查阀门有无锈蚀、变形、泄漏，开闭是否正常；</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检查排污装置是否完好、通畅；</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(4)</w:t>
            </w:r>
            <w:r>
              <w:rPr>
                <w:rFonts w:ascii="Times New Roman" w:hAnsi="Times New Roman" w:cs="Times New Roman"/>
                <w:color w:val="auto"/>
                <w:sz w:val="18"/>
                <w:szCs w:val="18"/>
              </w:rPr>
              <w:t>检查软管两端接头的连接是否牢固可靠，软管外观有无破裂、鼓包、折皱、老化现象；</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(5)</w:t>
            </w:r>
            <w:r>
              <w:rPr>
                <w:rFonts w:ascii="Times New Roman" w:hAnsi="Times New Roman" w:cs="Times New Roman"/>
                <w:color w:val="auto"/>
                <w:sz w:val="18"/>
                <w:szCs w:val="18"/>
              </w:rPr>
              <w:t>检查气动阀门有无损伤,是否处于常闭状态。</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J3.3</w:t>
            </w:r>
            <w:r>
              <w:rPr>
                <w:rFonts w:ascii="Times New Roman" w:hAnsi="Times New Roman" w:cs="Times New Roman"/>
                <w:color w:val="auto"/>
                <w:sz w:val="18"/>
                <w:szCs w:val="18"/>
              </w:rPr>
              <w:t>快装接头</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检查有无锈蚀、变形、裂纹和其他损坏。</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J4</w:t>
            </w:r>
            <w:r>
              <w:rPr>
                <w:rFonts w:ascii="Times New Roman" w:hAnsi="Times New Roman" w:cs="Times New Roman"/>
                <w:color w:val="auto"/>
                <w:sz w:val="18"/>
                <w:szCs w:val="18"/>
              </w:rPr>
              <w:t>气瓶固定装置安全状况检查</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检查气瓶与前后两端支撑立板的连接是否松动，气瓶是否发生转动；</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检查框架有无裂纹、凹陷、扭曲或者其他机械接触损伤；</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检查框架与拖车底盘连接是否牢固可靠；</w:t>
            </w:r>
          </w:p>
          <w:p>
            <w:pPr>
              <w:pStyle w:val="10"/>
              <w:tabs>
                <w:tab w:val="left" w:pos="326"/>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(4)</w:t>
            </w:r>
            <w:r>
              <w:rPr>
                <w:rFonts w:ascii="Times New Roman" w:hAnsi="Times New Roman" w:cs="Times New Roman"/>
                <w:color w:val="auto"/>
                <w:sz w:val="18"/>
                <w:szCs w:val="18"/>
              </w:rPr>
              <w:t>检查捆绑带有无损伤、腐蚀，紧固连接螺栓有无腐蚀、松动、弯曲变形，螺母、垫片、缓冲垫是否齐全、完好，捆绑带与紧固螺栓连接处有无损伤、断裂。</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J5</w:t>
            </w:r>
            <w:r>
              <w:rPr>
                <w:rFonts w:ascii="Times New Roman" w:hAnsi="Times New Roman" w:cs="Times New Roman"/>
                <w:color w:val="auto"/>
                <w:sz w:val="18"/>
                <w:szCs w:val="18"/>
              </w:rPr>
              <w:t>安全附件检查</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J5.1</w:t>
            </w:r>
            <w:r>
              <w:rPr>
                <w:rFonts w:ascii="Times New Roman" w:hAnsi="Times New Roman" w:cs="Times New Roman"/>
                <w:color w:val="auto"/>
                <w:sz w:val="18"/>
                <w:szCs w:val="18"/>
              </w:rPr>
              <w:t>易熔塞易熔合金</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检查易熔塞易熔合金使用条件是否超过产品说明书的规定，是否有易熔合金挤出、渗漏的情况。</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J5.2</w:t>
            </w:r>
            <w:r>
              <w:rPr>
                <w:rFonts w:ascii="Times New Roman" w:hAnsi="Times New Roman" w:cs="Times New Roman"/>
                <w:color w:val="auto"/>
                <w:sz w:val="18"/>
                <w:szCs w:val="18"/>
              </w:rPr>
              <w:t>导静电装置</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检查瓶体、管路、阀门与导静电带接地端的电阻是否超过</w:t>
            </w:r>
            <w:r>
              <w:rPr>
                <w:rFonts w:ascii="Times New Roman" w:hAnsi="Times New Roman" w:eastAsia="Times New Roman" w:cs="Times New Roman"/>
                <w:color w:val="auto"/>
                <w:sz w:val="18"/>
                <w:szCs w:val="18"/>
              </w:rPr>
              <w:t>10</w:t>
            </w:r>
            <w:r>
              <w:rPr>
                <w:rFonts w:ascii="Times New Roman" w:hAnsi="Times New Roman" w:cs="Times New Roman"/>
                <w:color w:val="auto"/>
                <w:sz w:val="18"/>
                <w:szCs w:val="18"/>
                <w:lang w:val="en-US" w:eastAsia="zh-CN" w:bidi="en-US"/>
              </w:rPr>
              <w:t>Ω；</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检查导静电带安装是否正确。</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J5.3</w:t>
            </w:r>
            <w:r>
              <w:rPr>
                <w:rFonts w:ascii="Times New Roman" w:hAnsi="Times New Roman" w:cs="Times New Roman"/>
                <w:color w:val="auto"/>
                <w:sz w:val="18"/>
                <w:szCs w:val="18"/>
              </w:rPr>
              <w:t>紧急切断装置</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设置紧急切断装置的长管拖车、管束式集装箱,应当进行以下检查：</w:t>
            </w:r>
          </w:p>
        </w:tc>
      </w:tr>
    </w:tbl>
    <w:p>
      <w:pPr>
        <w:snapToGrid w:val="0"/>
        <w:rPr>
          <w:rFonts w:ascii="Times New Roman" w:hAnsi="Times New Roman" w:eastAsia="宋体" w:cs="Times New Roman"/>
          <w:color w:val="auto"/>
          <w:sz w:val="18"/>
          <w:szCs w:val="18"/>
        </w:rPr>
      </w:pPr>
    </w:p>
    <w:tbl>
      <w:tblPr>
        <w:tblStyle w:val="8"/>
        <w:tblW w:w="14611"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61"/>
        <w:gridCol w:w="956"/>
        <w:gridCol w:w="887"/>
        <w:gridCol w:w="1559"/>
        <w:gridCol w:w="992"/>
        <w:gridCol w:w="93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39" w:hRule="atLeast"/>
        </w:trPr>
        <w:tc>
          <w:tcPr>
            <w:tcW w:w="861"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排查内容</w:t>
            </w:r>
          </w:p>
        </w:tc>
        <w:tc>
          <w:tcPr>
            <w:tcW w:w="956"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排查人</w:t>
            </w:r>
          </w:p>
        </w:tc>
        <w:tc>
          <w:tcPr>
            <w:tcW w:w="887"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排查时间</w:t>
            </w:r>
          </w:p>
        </w:tc>
        <w:tc>
          <w:tcPr>
            <w:tcW w:w="2551" w:type="dxa"/>
            <w:gridSpan w:val="2"/>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val="en-US" w:eastAsia="zh-CN"/>
              </w:rPr>
            </w:pPr>
            <w:r>
              <w:rPr>
                <w:rFonts w:ascii="Times New Roman" w:hAnsi="黑体" w:eastAsia="黑体" w:cs="Times New Roman"/>
                <w:b/>
                <w:bCs w:val="0"/>
                <w:color w:val="auto"/>
                <w:sz w:val="18"/>
                <w:szCs w:val="18"/>
                <w:lang w:val="en-US" w:eastAsia="zh-CN"/>
              </w:rPr>
              <w:t>排查依据</w:t>
            </w:r>
          </w:p>
        </w:tc>
        <w:tc>
          <w:tcPr>
            <w:tcW w:w="9356" w:type="dxa"/>
            <w:vMerge w:val="restart"/>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排查要求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92" w:hRule="exact"/>
        </w:trPr>
        <w:tc>
          <w:tcPr>
            <w:tcW w:w="86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1559"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法规标准</w:t>
            </w:r>
          </w:p>
        </w:tc>
        <w:tc>
          <w:tcPr>
            <w:tcW w:w="992" w:type="dxa"/>
            <w:shd w:val="clear" w:color="auto" w:fill="FFFFFF"/>
            <w:noWrap/>
            <w:vAlign w:val="center"/>
          </w:tcPr>
          <w:p>
            <w:pPr>
              <w:pStyle w:val="10"/>
              <w:snapToGrid w:val="0"/>
              <w:spacing w:line="240" w:lineRule="auto"/>
              <w:jc w:val="center"/>
              <w:rPr>
                <w:rFonts w:ascii="Times New Roman" w:hAnsi="黑体" w:eastAsia="黑体" w:cs="Times New Roman"/>
                <w:b/>
                <w:bCs w:val="0"/>
                <w:color w:val="auto"/>
                <w:sz w:val="18"/>
                <w:szCs w:val="18"/>
                <w:lang w:eastAsia="zh-CN"/>
              </w:rPr>
            </w:pPr>
            <w:r>
              <w:rPr>
                <w:rFonts w:ascii="Times New Roman" w:hAnsi="黑体" w:eastAsia="黑体" w:cs="Times New Roman"/>
                <w:b/>
                <w:bCs w:val="0"/>
                <w:color w:val="auto"/>
                <w:sz w:val="18"/>
                <w:szCs w:val="18"/>
                <w:lang w:eastAsia="zh-CN"/>
              </w:rPr>
              <w:t>适用条款</w:t>
            </w:r>
          </w:p>
        </w:tc>
        <w:tc>
          <w:tcPr>
            <w:tcW w:w="9356"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974" w:hRule="atLeas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年度检查</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(长管拖车、管束式集装箱)</w:t>
            </w:r>
          </w:p>
        </w:tc>
        <w:tc>
          <w:tcPr>
            <w:tcW w:w="956"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使用单位或有相应定期检验资质的检验机构的人员</w:t>
            </w:r>
          </w:p>
        </w:tc>
        <w:tc>
          <w:tcPr>
            <w:tcW w:w="8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每年至少一次(定期检验年度可免年度检查)</w:t>
            </w:r>
          </w:p>
        </w:tc>
        <w:tc>
          <w:tcPr>
            <w:tcW w:w="15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移动式压力容器安全技术监察规程</w:t>
            </w:r>
            <w:r>
              <w:rPr>
                <w:rFonts w:ascii="Times New Roman" w:hAnsi="Times New Roman" w:eastAsia="Times New Roman" w:cs="Times New Roman"/>
                <w:color w:val="auto"/>
                <w:sz w:val="18"/>
                <w:szCs w:val="18"/>
                <w:lang w:val="en-US" w:eastAsia="zh-CN" w:bidi="en-US"/>
              </w:rPr>
              <w:t>(TSG R</w:t>
            </w:r>
            <w:r>
              <w:rPr>
                <w:rFonts w:ascii="Times New Roman" w:hAnsi="Times New Roman" w:cs="Times New Roman"/>
                <w:color w:val="auto"/>
                <w:sz w:val="18"/>
                <w:szCs w:val="18"/>
                <w:lang w:val="en-US" w:eastAsia="zh-CN" w:bidi="en-US"/>
              </w:rPr>
              <w:t>000</w:t>
            </w:r>
            <w:r>
              <w:rPr>
                <w:rFonts w:ascii="Times New Roman" w:hAnsi="Times New Roman" w:eastAsia="Times New Roman" w:cs="Times New Roman"/>
                <w:color w:val="auto"/>
                <w:sz w:val="18"/>
                <w:szCs w:val="18"/>
                <w:lang w:val="en-US" w:eastAsia="zh-CN" w:bidi="en-US"/>
              </w:rPr>
              <w:t>5-</w:t>
            </w:r>
            <w:r>
              <w:rPr>
                <w:rFonts w:ascii="Times New Roman" w:hAnsi="Times New Roman" w:eastAsia="Times New Roman" w:cs="Times New Roman"/>
                <w:color w:val="auto"/>
                <w:sz w:val="18"/>
                <w:szCs w:val="18"/>
              </w:rPr>
              <w:t>2011)</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第2号修改单</w:t>
            </w: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附件</w:t>
            </w:r>
            <w:r>
              <w:rPr>
                <w:rFonts w:ascii="Times New Roman" w:hAnsi="Times New Roman" w:eastAsia="Times New Roman" w:cs="Times New Roman"/>
                <w:color w:val="auto"/>
                <w:sz w:val="18"/>
                <w:szCs w:val="18"/>
                <w:lang w:val="en-US" w:eastAsia="en-US" w:bidi="en-US"/>
              </w:rPr>
              <w:t>J</w:t>
            </w:r>
          </w:p>
        </w:tc>
        <w:tc>
          <w:tcPr>
            <w:tcW w:w="9356" w:type="dxa"/>
            <w:shd w:val="clear" w:color="auto" w:fill="FFFFFF"/>
            <w:noWrap/>
            <w:vAlign w:val="center"/>
          </w:tcPr>
          <w:p>
            <w:pPr>
              <w:pStyle w:val="10"/>
              <w:numPr>
                <w:ilvl w:val="0"/>
                <w:numId w:val="36"/>
              </w:numPr>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紧急切断装置的设置是否符合标准和设计图样的规定；</w:t>
            </w:r>
          </w:p>
          <w:p>
            <w:pPr>
              <w:pStyle w:val="10"/>
              <w:numPr>
                <w:ilvl w:val="0"/>
                <w:numId w:val="36"/>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外观质量是否良好；</w:t>
            </w:r>
          </w:p>
          <w:p>
            <w:pPr>
              <w:pStyle w:val="10"/>
              <w:numPr>
                <w:ilvl w:val="0"/>
                <w:numId w:val="36"/>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解体检查阀体、先导杆、弹簧、密封面、凸轮等有无损伤变形、腐蚀生锈、裂纹等缺陷；</w:t>
            </w:r>
          </w:p>
          <w:p>
            <w:pPr>
              <w:pStyle w:val="10"/>
              <w:numPr>
                <w:ilvl w:val="0"/>
                <w:numId w:val="36"/>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性能校验是否合格；</w:t>
            </w:r>
          </w:p>
          <w:p>
            <w:pPr>
              <w:pStyle w:val="10"/>
              <w:numPr>
                <w:ilvl w:val="0"/>
                <w:numId w:val="36"/>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远控系统动作是否灵敏可靠。</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J6</w:t>
            </w:r>
            <w:r>
              <w:rPr>
                <w:rFonts w:ascii="Times New Roman" w:hAnsi="Times New Roman" w:cs="Times New Roman"/>
                <w:color w:val="auto"/>
                <w:sz w:val="18"/>
                <w:szCs w:val="18"/>
              </w:rPr>
              <w:t>整车泄漏性试验</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TSG R0005-2011</w:t>
            </w:r>
            <w:r>
              <w:rPr>
                <w:rFonts w:ascii="Times New Roman" w:hAnsi="Times New Roman" w:cs="Times New Roman"/>
                <w:color w:val="auto"/>
                <w:sz w:val="18"/>
                <w:szCs w:val="18"/>
              </w:rPr>
              <w:t>附件</w:t>
            </w:r>
            <w:r>
              <w:rPr>
                <w:rFonts w:ascii="Times New Roman" w:hAnsi="Times New Roman" w:eastAsia="Times New Roman" w:cs="Times New Roman"/>
                <w:color w:val="auto"/>
                <w:sz w:val="18"/>
                <w:szCs w:val="18"/>
                <w:lang w:val="en-US" w:eastAsia="zh-CN" w:bidi="en-US"/>
              </w:rPr>
              <w:t>J</w:t>
            </w:r>
            <w:r>
              <w:rPr>
                <w:rFonts w:ascii="Times New Roman" w:hAnsi="Times New Roman" w:cs="Times New Roman"/>
                <w:color w:val="auto"/>
                <w:sz w:val="18"/>
                <w:szCs w:val="18"/>
              </w:rPr>
              <w:t>中</w:t>
            </w:r>
            <w:r>
              <w:rPr>
                <w:rFonts w:ascii="Times New Roman" w:hAnsi="Times New Roman" w:eastAsia="Times New Roman" w:cs="Times New Roman"/>
                <w:color w:val="auto"/>
                <w:sz w:val="18"/>
                <w:szCs w:val="18"/>
                <w:lang w:val="en-US" w:eastAsia="zh-CN" w:bidi="en-US"/>
              </w:rPr>
              <w:t>J2</w:t>
            </w:r>
            <w:r>
              <w:rPr>
                <w:rFonts w:ascii="Times New Roman" w:hAnsi="Times New Roman" w:eastAsia="MS Mincho" w:cs="Times New Roman"/>
                <w:color w:val="auto"/>
                <w:sz w:val="18"/>
                <w:szCs w:val="18"/>
              </w:rPr>
              <w:t>〜</w:t>
            </w:r>
            <w:r>
              <w:rPr>
                <w:rFonts w:ascii="Times New Roman" w:hAnsi="Times New Roman" w:eastAsia="Times New Roman" w:cs="Times New Roman"/>
                <w:color w:val="auto"/>
                <w:sz w:val="18"/>
                <w:szCs w:val="18"/>
                <w:lang w:val="en-US" w:eastAsia="zh-CN" w:bidi="en-US"/>
              </w:rPr>
              <w:t>J5</w:t>
            </w:r>
            <w:r>
              <w:rPr>
                <w:rFonts w:ascii="Times New Roman" w:hAnsi="Times New Roman" w:cs="Times New Roman"/>
                <w:color w:val="auto"/>
                <w:sz w:val="18"/>
                <w:szCs w:val="18"/>
              </w:rPr>
              <w:t>的检查项目完成后，应当对长管拖车所有密封面进行泄漏性检查。检查所用介质为氮气或者充装气体，压力为气瓶公称工作压力的</w:t>
            </w:r>
            <w:r>
              <w:rPr>
                <w:rFonts w:ascii="Times New Roman" w:hAnsi="Times New Roman" w:eastAsia="Times New Roman" w:cs="Times New Roman"/>
                <w:color w:val="auto"/>
                <w:sz w:val="18"/>
                <w:szCs w:val="18"/>
                <w:lang w:val="en-US" w:eastAsia="zh-CN" w:bidi="en-US"/>
              </w:rPr>
              <w:t>0.8</w:t>
            </w:r>
            <w:r>
              <w:rPr>
                <w:rFonts w:ascii="Times New Roman" w:hAnsi="Times New Roman" w:cs="Times New Roman"/>
                <w:color w:val="auto"/>
                <w:sz w:val="18"/>
                <w:szCs w:val="18"/>
              </w:rPr>
              <w:t>至</w:t>
            </w:r>
            <w:r>
              <w:rPr>
                <w:rFonts w:ascii="Times New Roman" w:hAnsi="Times New Roman" w:eastAsia="Times New Roman" w:cs="Times New Roman"/>
                <w:color w:val="auto"/>
                <w:sz w:val="18"/>
                <w:szCs w:val="18"/>
                <w:lang w:val="en-US" w:eastAsia="zh-CN" w:bidi="en-US"/>
              </w:rPr>
              <w:t>1.0</w:t>
            </w:r>
            <w:r>
              <w:rPr>
                <w:rFonts w:ascii="Times New Roman" w:hAnsi="Times New Roman" w:cs="Times New Roman"/>
                <w:color w:val="auto"/>
                <w:sz w:val="18"/>
                <w:szCs w:val="18"/>
              </w:rPr>
              <w:t>倍。</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J7</w:t>
            </w:r>
            <w:r>
              <w:rPr>
                <w:rFonts w:ascii="Times New Roman" w:hAnsi="Times New Roman" w:cs="Times New Roman"/>
                <w:color w:val="auto"/>
                <w:sz w:val="18"/>
                <w:szCs w:val="18"/>
              </w:rPr>
              <w:t>年度检查结论及报告</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年度检查工作完成后，检查人员根据实际检查情况出具检查报告，作出以下结论意见：</w:t>
            </w:r>
          </w:p>
          <w:p>
            <w:pPr>
              <w:pStyle w:val="10"/>
              <w:numPr>
                <w:ilvl w:val="0"/>
                <w:numId w:val="37"/>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符合要求，是指未发现或者只有轻度不影响安全使用的缺陷，可以在允许的参数范围内继续使用；</w:t>
            </w:r>
          </w:p>
          <w:p>
            <w:pPr>
              <w:pStyle w:val="10"/>
              <w:numPr>
                <w:ilvl w:val="0"/>
                <w:numId w:val="37"/>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基本符合要求，是指发现一般缺陷，经过使用单位采取措施后能保证安全运行，可以有条件的监控使用，结论中应当注明监控运行需要解决的问题及其完成期限；</w:t>
            </w:r>
          </w:p>
          <w:p>
            <w:pPr>
              <w:pStyle w:val="10"/>
              <w:numPr>
                <w:ilvl w:val="0"/>
                <w:numId w:val="37"/>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不符合要求，是指发现严重缺陷，不能保证压力容器安全运行，不允许继续使用，应当停止运行或者申请检验机构进行进一步检验。</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年度检查由使用单位自行实施时，其年度检查报告应当由使用单位安全管理负责人或者授权的安全管理员审批。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395"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定期检验</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(长管拖车、管束式集装箱)</w:t>
            </w:r>
          </w:p>
        </w:tc>
        <w:tc>
          <w:tcPr>
            <w:tcW w:w="956"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检验机构有资质的检验人员</w:t>
            </w:r>
          </w:p>
        </w:tc>
        <w:tc>
          <w:tcPr>
            <w:tcW w:w="8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由检验人员确定</w:t>
            </w:r>
          </w:p>
        </w:tc>
        <w:tc>
          <w:tcPr>
            <w:tcW w:w="15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移动式压力容器安全技术监察规程</w:t>
            </w:r>
            <w:r>
              <w:rPr>
                <w:rFonts w:ascii="Times New Roman" w:hAnsi="Times New Roman" w:eastAsia="Times New Roman" w:cs="Times New Roman"/>
                <w:color w:val="auto"/>
                <w:sz w:val="18"/>
                <w:szCs w:val="18"/>
                <w:lang w:val="en-US" w:eastAsia="zh-CN" w:bidi="en-US"/>
              </w:rPr>
              <w:t>(TSG R</w:t>
            </w:r>
            <w:r>
              <w:rPr>
                <w:rFonts w:ascii="Times New Roman" w:hAnsi="Times New Roman" w:cs="Times New Roman"/>
                <w:color w:val="auto"/>
                <w:sz w:val="18"/>
                <w:szCs w:val="18"/>
                <w:lang w:val="en-US" w:eastAsia="zh-CN" w:bidi="en-US"/>
              </w:rPr>
              <w:t>000</w:t>
            </w:r>
            <w:r>
              <w:rPr>
                <w:rFonts w:ascii="Times New Roman" w:hAnsi="Times New Roman" w:eastAsia="Times New Roman" w:cs="Times New Roman"/>
                <w:color w:val="auto"/>
                <w:sz w:val="18"/>
                <w:szCs w:val="18"/>
                <w:lang w:val="en-US" w:eastAsia="zh-CN" w:bidi="en-US"/>
              </w:rPr>
              <w:t>5-</w:t>
            </w:r>
            <w:r>
              <w:rPr>
                <w:rFonts w:ascii="Times New Roman" w:hAnsi="Times New Roman" w:eastAsia="Times New Roman" w:cs="Times New Roman"/>
                <w:color w:val="auto"/>
                <w:sz w:val="18"/>
                <w:szCs w:val="18"/>
              </w:rPr>
              <w:t>2011)</w:t>
            </w: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lang w:val="en-US" w:eastAsia="zh-CN" w:bidi="en-US"/>
              </w:rPr>
              <w:t>8.1</w:t>
            </w:r>
          </w:p>
        </w:tc>
        <w:tc>
          <w:tcPr>
            <w:tcW w:w="9356" w:type="dxa"/>
            <w:shd w:val="clear" w:color="auto" w:fill="FFFFFF"/>
            <w:noWrap/>
            <w:vAlign w:val="center"/>
          </w:tcPr>
          <w:p>
            <w:pPr>
              <w:pStyle w:val="10"/>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使用单位应当于移动式压力容器定期检验有效期届满前</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个月向检验机构提出定期检验要求。</w:t>
            </w:r>
          </w:p>
        </w:tc>
      </w:tr>
    </w:tbl>
    <w:p>
      <w:pPr>
        <w:snapToGrid w:val="0"/>
        <w:rPr>
          <w:rFonts w:ascii="Times New Roman" w:hAnsi="Times New Roman" w:eastAsia="宋体" w:cs="Times New Roman"/>
          <w:color w:val="auto"/>
          <w:sz w:val="18"/>
          <w:szCs w:val="18"/>
        </w:rPr>
        <w:sectPr>
          <w:headerReference r:id="rId14" w:type="default"/>
          <w:headerReference r:id="rId15" w:type="even"/>
          <w:footerReference r:id="rId16" w:type="even"/>
          <w:pgSz w:w="16840" w:h="11900" w:orient="landscape"/>
          <w:pgMar w:top="1134" w:right="1134" w:bottom="1134" w:left="1134" w:header="851" w:footer="851" w:gutter="0"/>
          <w:pgNumType w:fmt="numberInDash"/>
          <w:cols w:space="720" w:num="1"/>
          <w:docGrid w:linePitch="360" w:charSpace="0"/>
        </w:sectPr>
      </w:pPr>
    </w:p>
    <w:p>
      <w:pPr>
        <w:pStyle w:val="9"/>
        <w:snapToGrid w:val="0"/>
        <w:spacing w:beforeLines="50" w:afterLines="50" w:line="240" w:lineRule="auto"/>
        <w:jc w:val="center"/>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rPr>
        <w:t xml:space="preserve">附表1  </w:t>
      </w:r>
      <w:r>
        <w:rPr>
          <w:rFonts w:hint="eastAsia" w:ascii="仿宋_GB2312" w:hAnsi="仿宋_GB2312" w:eastAsia="仿宋_GB2312" w:cs="仿宋_GB2312"/>
          <w:b w:val="0"/>
          <w:bCs/>
          <w:color w:val="auto"/>
          <w:sz w:val="30"/>
          <w:szCs w:val="30"/>
          <w:lang w:eastAsia="zh-CN"/>
        </w:rPr>
        <w:t>移动式压力容器日常检查和维护保养(定期自行检查)</w:t>
      </w:r>
      <w:r>
        <w:rPr>
          <w:rFonts w:hint="eastAsia" w:ascii="仿宋_GB2312" w:hAnsi="仿宋_GB2312" w:eastAsia="仿宋_GB2312" w:cs="仿宋_GB2312"/>
          <w:b w:val="0"/>
          <w:bCs/>
          <w:color w:val="auto"/>
          <w:sz w:val="30"/>
          <w:szCs w:val="30"/>
        </w:rPr>
        <w:t>记录表格式</w:t>
      </w:r>
    </w:p>
    <w:tbl>
      <w:tblPr>
        <w:tblStyle w:val="8"/>
        <w:tblW w:w="956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41"/>
        <w:gridCol w:w="425"/>
        <w:gridCol w:w="4253"/>
        <w:gridCol w:w="1134"/>
        <w:gridCol w:w="25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1666"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21"/>
                <w:szCs w:val="21"/>
                <w:lang w:eastAsia="zh-CN"/>
              </w:rPr>
            </w:pPr>
            <w:r>
              <w:rPr>
                <w:rFonts w:ascii="Times New Roman" w:hAnsi="Times New Roman" w:eastAsia="黑体" w:cs="Times New Roman"/>
                <w:b w:val="0"/>
                <w:bCs/>
                <w:color w:val="auto"/>
                <w:sz w:val="21"/>
                <w:szCs w:val="21"/>
              </w:rPr>
              <w:t>使用</w:t>
            </w:r>
            <w:r>
              <w:rPr>
                <w:rFonts w:ascii="Times New Roman" w:hAnsi="Times New Roman" w:eastAsia="黑体" w:cs="Times New Roman"/>
                <w:b w:val="0"/>
                <w:bCs/>
                <w:color w:val="auto"/>
                <w:sz w:val="21"/>
                <w:szCs w:val="21"/>
                <w:lang w:eastAsia="zh-CN"/>
              </w:rPr>
              <w:t>证号</w:t>
            </w:r>
          </w:p>
        </w:tc>
        <w:tc>
          <w:tcPr>
            <w:tcW w:w="7895" w:type="dxa"/>
            <w:gridSpan w:val="3"/>
            <w:shd w:val="clear" w:color="auto" w:fill="FFFFFF"/>
            <w:noWrap/>
            <w:vAlign w:val="center"/>
          </w:tcPr>
          <w:p>
            <w:pPr>
              <w:snapToGrid w:val="0"/>
              <w:jc w:val="center"/>
              <w:rPr>
                <w:rFonts w:ascii="Times New Roman" w:hAnsi="Times New Roman" w:eastAsia="黑体" w:cs="Times New Roman"/>
                <w:b w:val="0"/>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1666"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21"/>
                <w:szCs w:val="21"/>
                <w:lang w:eastAsia="zh-CN"/>
              </w:rPr>
            </w:pPr>
            <w:r>
              <w:rPr>
                <w:rFonts w:ascii="Times New Roman" w:hAnsi="Times New Roman" w:eastAsia="黑体" w:cs="Times New Roman"/>
                <w:b w:val="0"/>
                <w:bCs/>
                <w:color w:val="auto"/>
                <w:sz w:val="21"/>
                <w:szCs w:val="21"/>
                <w:lang w:eastAsia="zh-CN"/>
              </w:rPr>
              <w:t>车牌号码</w:t>
            </w:r>
          </w:p>
        </w:tc>
        <w:tc>
          <w:tcPr>
            <w:tcW w:w="7895" w:type="dxa"/>
            <w:gridSpan w:val="3"/>
            <w:shd w:val="clear" w:color="auto" w:fill="FFFFFF"/>
            <w:noWrap/>
            <w:vAlign w:val="center"/>
          </w:tcPr>
          <w:p>
            <w:pPr>
              <w:snapToGrid w:val="0"/>
              <w:jc w:val="center"/>
              <w:rPr>
                <w:rFonts w:ascii="Times New Roman" w:hAnsi="Times New Roman" w:eastAsia="黑体" w:cs="Times New Roman"/>
                <w:b w:val="0"/>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1666"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21"/>
                <w:szCs w:val="21"/>
              </w:rPr>
            </w:pPr>
            <w:r>
              <w:rPr>
                <w:rFonts w:ascii="Times New Roman" w:hAnsi="Times New Roman" w:eastAsia="黑体" w:cs="Times New Roman"/>
                <w:b w:val="0"/>
                <w:bCs/>
                <w:color w:val="auto"/>
                <w:sz w:val="21"/>
                <w:szCs w:val="21"/>
              </w:rPr>
              <w:t>检查项目</w:t>
            </w:r>
          </w:p>
        </w:tc>
        <w:tc>
          <w:tcPr>
            <w:tcW w:w="4253" w:type="dxa"/>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21"/>
                <w:szCs w:val="21"/>
              </w:rPr>
            </w:pPr>
            <w:r>
              <w:rPr>
                <w:rFonts w:ascii="Times New Roman" w:hAnsi="Times New Roman" w:eastAsia="黑体" w:cs="Times New Roman"/>
                <w:b w:val="0"/>
                <w:bCs/>
                <w:color w:val="auto"/>
                <w:sz w:val="21"/>
                <w:szCs w:val="21"/>
              </w:rPr>
              <w:t>检查内容</w:t>
            </w:r>
          </w:p>
        </w:tc>
        <w:tc>
          <w:tcPr>
            <w:tcW w:w="1134" w:type="dxa"/>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21"/>
                <w:szCs w:val="21"/>
              </w:rPr>
            </w:pPr>
            <w:r>
              <w:rPr>
                <w:rFonts w:ascii="Times New Roman" w:hAnsi="Times New Roman" w:eastAsia="黑体" w:cs="Times New Roman"/>
                <w:b w:val="0"/>
                <w:bCs/>
                <w:color w:val="auto"/>
                <w:sz w:val="21"/>
                <w:szCs w:val="21"/>
              </w:rPr>
              <w:t>检查结果</w:t>
            </w:r>
          </w:p>
        </w:tc>
        <w:tc>
          <w:tcPr>
            <w:tcW w:w="2508" w:type="dxa"/>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21"/>
                <w:szCs w:val="21"/>
              </w:rPr>
            </w:pPr>
            <w:r>
              <w:rPr>
                <w:rFonts w:ascii="Times New Roman" w:hAnsi="Times New Roman" w:eastAsia="黑体" w:cs="Times New Roman"/>
                <w:b w:val="0"/>
                <w:bCs/>
                <w:color w:val="auto"/>
                <w:sz w:val="21"/>
                <w:szCs w:val="21"/>
              </w:rPr>
              <w:t>问题记录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241"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外观</w:t>
            </w:r>
          </w:p>
        </w:tc>
        <w:tc>
          <w:tcPr>
            <w:tcW w:w="42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hAnsi="Times New Roman" w:cs="Times New Roman"/>
                <w:color w:val="auto"/>
                <w:sz w:val="18"/>
                <w:szCs w:val="18"/>
                <w:lang w:val="en-US" w:eastAsia="en-US" w:bidi="en-US"/>
              </w:rPr>
              <w:t>★</w:t>
            </w:r>
          </w:p>
        </w:tc>
        <w:tc>
          <w:tcPr>
            <w:tcW w:w="4253"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罐体或者气瓶涂层及漆色是否完好，有无脱落等</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508"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24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42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en-US" w:bidi="en-US"/>
              </w:rPr>
            </w:pPr>
            <w:r>
              <w:rPr>
                <w:rFonts w:hAnsi="Times New Roman" w:cs="Times New Roman"/>
                <w:color w:val="auto"/>
                <w:sz w:val="18"/>
                <w:szCs w:val="18"/>
                <w:lang w:val="en-US" w:eastAsia="en-US" w:bidi="en-US"/>
              </w:rPr>
              <w:t>★</w:t>
            </w:r>
          </w:p>
        </w:tc>
        <w:tc>
          <w:tcPr>
            <w:tcW w:w="4253"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罐体保温层、真空绝热层是否完好</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508"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24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42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en-US" w:bidi="en-US"/>
              </w:rPr>
            </w:pPr>
            <w:r>
              <w:rPr>
                <w:rFonts w:ascii="Times New Roman" w:hAnsi="Times New Roman" w:cs="Times New Roman"/>
                <w:color w:val="auto"/>
                <w:sz w:val="18"/>
                <w:szCs w:val="18"/>
                <w:lang w:val="en-US" w:eastAsia="en-US" w:bidi="en-US"/>
              </w:rPr>
              <w:t>★</w:t>
            </w:r>
          </w:p>
        </w:tc>
        <w:tc>
          <w:tcPr>
            <w:tcW w:w="4253"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罐体或者气瓶外部的标志是否清晰</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508"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241"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设备状态</w:t>
            </w:r>
          </w:p>
        </w:tc>
        <w:tc>
          <w:tcPr>
            <w:tcW w:w="425" w:type="dxa"/>
            <w:shd w:val="clear" w:color="auto" w:fill="FFFFFF"/>
            <w:noWrap/>
            <w:vAlign w:val="center"/>
          </w:tcPr>
          <w:p>
            <w:pPr>
              <w:jc w:val="center"/>
              <w:rPr>
                <w:rFonts w:ascii="Times New Roman" w:hAnsi="Times New Roman" w:cs="Times New Roman"/>
                <w:color w:val="auto"/>
              </w:rPr>
            </w:pPr>
            <w:r>
              <w:rPr>
                <w:rFonts w:ascii="Times New Roman" w:hAnsi="Times New Roman" w:eastAsia="宋体" w:cs="Times New Roman"/>
                <w:color w:val="auto"/>
                <w:sz w:val="18"/>
                <w:szCs w:val="18"/>
              </w:rPr>
              <w:t>★</w:t>
            </w:r>
          </w:p>
        </w:tc>
        <w:tc>
          <w:tcPr>
            <w:tcW w:w="4253"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紧急切断阀以及相关的操作阀门是否置于闭止状态</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508"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24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425" w:type="dxa"/>
            <w:shd w:val="clear" w:color="auto" w:fill="FFFFFF"/>
            <w:noWrap/>
            <w:vAlign w:val="center"/>
          </w:tcPr>
          <w:p>
            <w:pPr>
              <w:jc w:val="center"/>
              <w:rPr>
                <w:rFonts w:ascii="Times New Roman" w:hAnsi="Times New Roman" w:cs="Times New Roman"/>
                <w:color w:val="auto"/>
              </w:rPr>
            </w:pPr>
            <w:r>
              <w:rPr>
                <w:rFonts w:ascii="Times New Roman" w:hAnsi="Times New Roman" w:eastAsia="宋体" w:cs="Times New Roman"/>
                <w:color w:val="auto"/>
                <w:sz w:val="18"/>
                <w:szCs w:val="18"/>
              </w:rPr>
              <w:t>★</w:t>
            </w:r>
          </w:p>
        </w:tc>
        <w:tc>
          <w:tcPr>
            <w:tcW w:w="4253"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安全附件是否完好</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508"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24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425" w:type="dxa"/>
            <w:shd w:val="clear" w:color="auto" w:fill="FFFFFF"/>
            <w:noWrap/>
            <w:vAlign w:val="center"/>
          </w:tcPr>
          <w:p>
            <w:pPr>
              <w:jc w:val="center"/>
              <w:rPr>
                <w:rFonts w:ascii="Times New Roman" w:hAnsi="Times New Roman" w:cs="Times New Roman"/>
                <w:color w:val="auto"/>
              </w:rPr>
            </w:pPr>
            <w:r>
              <w:rPr>
                <w:rFonts w:ascii="Times New Roman" w:hAnsi="Times New Roman" w:eastAsia="宋体" w:cs="Times New Roman"/>
                <w:color w:val="auto"/>
                <w:sz w:val="18"/>
                <w:szCs w:val="18"/>
              </w:rPr>
              <w:t>★</w:t>
            </w:r>
          </w:p>
        </w:tc>
        <w:tc>
          <w:tcPr>
            <w:tcW w:w="4253"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装卸附件是否完好</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508"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24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425" w:type="dxa"/>
            <w:shd w:val="clear" w:color="auto" w:fill="FFFFFF"/>
            <w:noWrap/>
            <w:vAlign w:val="center"/>
          </w:tcPr>
          <w:p>
            <w:pPr>
              <w:jc w:val="center"/>
              <w:rPr>
                <w:rFonts w:ascii="Times New Roman" w:hAnsi="Times New Roman" w:cs="Times New Roman"/>
                <w:color w:val="auto"/>
              </w:rPr>
            </w:pPr>
            <w:r>
              <w:rPr>
                <w:rFonts w:ascii="Times New Roman" w:hAnsi="Times New Roman" w:eastAsia="宋体" w:cs="Times New Roman"/>
                <w:color w:val="auto"/>
                <w:sz w:val="18"/>
                <w:szCs w:val="18"/>
              </w:rPr>
              <w:t>★</w:t>
            </w:r>
          </w:p>
        </w:tc>
        <w:tc>
          <w:tcPr>
            <w:tcW w:w="4253"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紧固件的连接是否牢固可靠、是否有松动现象</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508"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24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425" w:type="dxa"/>
            <w:shd w:val="clear" w:color="auto" w:fill="FFFFFF"/>
            <w:noWrap/>
            <w:vAlign w:val="center"/>
          </w:tcPr>
          <w:p>
            <w:pPr>
              <w:jc w:val="center"/>
              <w:rPr>
                <w:rFonts w:ascii="Times New Roman" w:hAnsi="Times New Roman" w:cs="Times New Roman"/>
                <w:color w:val="auto"/>
              </w:rPr>
            </w:pPr>
            <w:r>
              <w:rPr>
                <w:rFonts w:ascii="Times New Roman" w:hAnsi="Times New Roman" w:eastAsia="宋体" w:cs="Times New Roman"/>
                <w:color w:val="auto"/>
                <w:sz w:val="18"/>
                <w:szCs w:val="18"/>
              </w:rPr>
              <w:t>★</w:t>
            </w:r>
          </w:p>
        </w:tc>
        <w:tc>
          <w:tcPr>
            <w:tcW w:w="4253"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罐体或者气瓶各密封面有无泄漏</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508"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24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425" w:type="dxa"/>
            <w:shd w:val="clear" w:color="auto" w:fill="FFFFFF"/>
            <w:noWrap/>
            <w:vAlign w:val="center"/>
          </w:tcPr>
          <w:p>
            <w:pPr>
              <w:jc w:val="center"/>
              <w:rPr>
                <w:rFonts w:ascii="Times New Roman" w:hAnsi="Times New Roman" w:cs="Times New Roman"/>
                <w:color w:val="auto"/>
              </w:rPr>
            </w:pPr>
            <w:r>
              <w:rPr>
                <w:rFonts w:ascii="Times New Roman" w:hAnsi="Times New Roman" w:eastAsia="宋体" w:cs="Times New Roman"/>
                <w:color w:val="auto"/>
                <w:sz w:val="18"/>
                <w:szCs w:val="18"/>
              </w:rPr>
              <w:t>★</w:t>
            </w:r>
          </w:p>
        </w:tc>
        <w:tc>
          <w:tcPr>
            <w:tcW w:w="4253"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罐体或者气瓶与行走装置或者框架的连接紧固装置是否完好、牢固</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508"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11" w:hRule="exact"/>
          <w:jc w:val="center"/>
        </w:trPr>
        <w:tc>
          <w:tcPr>
            <w:tcW w:w="124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bidi="ar-SA"/>
              </w:rPr>
              <w:t>工艺参数</w:t>
            </w:r>
          </w:p>
        </w:tc>
        <w:tc>
          <w:tcPr>
            <w:tcW w:w="42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val="en-US" w:eastAsia="en-US" w:bidi="en-US"/>
              </w:rPr>
              <w:t>★</w:t>
            </w:r>
          </w:p>
        </w:tc>
        <w:tc>
          <w:tcPr>
            <w:tcW w:w="4253"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是否做好防腐等停炉保养工作</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508"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08" w:hRule="exact"/>
          <w:jc w:val="center"/>
        </w:trPr>
        <w:tc>
          <w:tcPr>
            <w:tcW w:w="124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bidi="ar-SA"/>
              </w:rPr>
              <w:t>随车装备</w:t>
            </w:r>
          </w:p>
        </w:tc>
        <w:tc>
          <w:tcPr>
            <w:tcW w:w="425" w:type="dxa"/>
            <w:shd w:val="clear" w:color="auto" w:fill="FFFFFF"/>
            <w:noWrap/>
            <w:vAlign w:val="center"/>
          </w:tcPr>
          <w:p>
            <w:pPr>
              <w:snapToGrid w:val="0"/>
              <w:jc w:val="center"/>
              <w:rPr>
                <w:rFonts w:ascii="Times New Roman" w:hAnsi="Times New Roman" w:cs="Times New Roman"/>
                <w:color w:val="auto"/>
                <w:sz w:val="18"/>
                <w:szCs w:val="18"/>
              </w:rPr>
            </w:pPr>
            <w:r>
              <w:rPr>
                <w:rFonts w:ascii="Times New Roman" w:hAnsi="Times New Roman" w:eastAsia="宋体" w:cs="Times New Roman"/>
                <w:color w:val="auto"/>
                <w:sz w:val="18"/>
                <w:szCs w:val="18"/>
              </w:rPr>
              <w:t>★</w:t>
            </w:r>
          </w:p>
        </w:tc>
        <w:tc>
          <w:tcPr>
            <w:tcW w:w="4253"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随车配备的应急处理器材、防护用品及专用工具、备品备件是否齐全，是否完好有效</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508"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08" w:hRule="exact"/>
          <w:jc w:val="center"/>
        </w:trPr>
        <w:tc>
          <w:tcPr>
            <w:tcW w:w="124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bidi="ar-SA"/>
              </w:rPr>
            </w:pPr>
            <w:r>
              <w:rPr>
                <w:rFonts w:ascii="Times New Roman" w:hAnsi="Times New Roman" w:cs="Times New Roman"/>
                <w:color w:val="auto"/>
                <w:sz w:val="18"/>
                <w:szCs w:val="18"/>
                <w:lang w:eastAsia="zh-CN" w:bidi="ar-SA"/>
              </w:rPr>
              <w:t>其他异常情况及采取措施</w:t>
            </w:r>
          </w:p>
        </w:tc>
        <w:tc>
          <w:tcPr>
            <w:tcW w:w="425" w:type="dxa"/>
            <w:shd w:val="clear" w:color="auto" w:fill="FFFFFF"/>
            <w:noWrap/>
            <w:vAlign w:val="center"/>
          </w:tcPr>
          <w:p>
            <w:pPr>
              <w:snapToGrid w:val="0"/>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w:t>
            </w:r>
          </w:p>
        </w:tc>
        <w:tc>
          <w:tcPr>
            <w:tcW w:w="4253"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508"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14" w:hRule="exact"/>
          <w:jc w:val="center"/>
        </w:trPr>
        <w:tc>
          <w:tcPr>
            <w:tcW w:w="1666" w:type="dxa"/>
            <w:gridSpan w:val="2"/>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检查人员</w:t>
            </w:r>
          </w:p>
        </w:tc>
        <w:tc>
          <w:tcPr>
            <w:tcW w:w="4253"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p>
        </w:tc>
        <w:tc>
          <w:tcPr>
            <w:tcW w:w="3642"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日期：</w:t>
            </w:r>
          </w:p>
        </w:tc>
      </w:tr>
    </w:tbl>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注：</w:t>
      </w:r>
      <w:r>
        <w:rPr>
          <w:rFonts w:ascii="Times New Roman" w:hAnsi="Times New Roman" w:eastAsia="Times New Roman" w:cs="Times New Roman"/>
          <w:color w:val="auto"/>
          <w:sz w:val="18"/>
          <w:szCs w:val="18"/>
          <w:lang w:val="en-US" w:eastAsia="zh-CN" w:bidi="en-US"/>
        </w:rPr>
        <w:t>1.</w:t>
      </w:r>
      <w:r>
        <w:rPr>
          <w:rFonts w:ascii="Times New Roman" w:hAnsi="Times New Roman" w:cs="Times New Roman"/>
          <w:color w:val="auto"/>
          <w:sz w:val="18"/>
          <w:szCs w:val="18"/>
        </w:rPr>
        <w:t>本记录表为建议表格，使用单位可根据本单位实际情况修改。</w:t>
      </w:r>
    </w:p>
    <w:p>
      <w:pPr>
        <w:pStyle w:val="9"/>
        <w:snapToGrid w:val="0"/>
        <w:spacing w:line="240" w:lineRule="auto"/>
        <w:rPr>
          <w:rFonts w:ascii="Times New Roman" w:hAnsi="Times New Roman" w:cs="Times New Roman"/>
          <w:color w:val="auto"/>
          <w:sz w:val="18"/>
          <w:szCs w:val="18"/>
        </w:rPr>
        <w:sectPr>
          <w:pgSz w:w="11900" w:h="16840"/>
          <w:pgMar w:top="1134" w:right="1134" w:bottom="1134" w:left="1134" w:header="851" w:footer="851" w:gutter="0"/>
          <w:pgNumType w:fmt="numberInDash"/>
          <w:cols w:space="720" w:num="1"/>
          <w:docGrid w:linePitch="360" w:charSpace="0"/>
        </w:sectPr>
      </w:pPr>
      <w:r>
        <w:rPr>
          <w:rFonts w:ascii="Times New Roman" w:hAnsi="Times New Roman" w:eastAsia="Times New Roman" w:cs="Times New Roman"/>
          <w:color w:val="auto"/>
          <w:sz w:val="18"/>
          <w:szCs w:val="18"/>
          <w:lang w:val="en-US" w:eastAsia="zh-CN" w:bidi="en-US"/>
        </w:rPr>
        <w:t xml:space="preserve">2. </w:t>
      </w:r>
      <w:r>
        <w:rPr>
          <w:rFonts w:ascii="Times New Roman" w:hAnsi="Times New Roman" w:cs="Times New Roman"/>
          <w:color w:val="auto"/>
          <w:sz w:val="18"/>
          <w:szCs w:val="18"/>
        </w:rPr>
        <w:t>★是《移动式压力容器安全技术监察规程》要求的检查项目。</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auto"/>
          <w:kern w:val="2"/>
          <w:sz w:val="32"/>
          <w:szCs w:val="32"/>
          <w:lang w:val="zh-TW" w:eastAsia="zh-TW" w:bidi="zh-TW"/>
        </w:rPr>
      </w:pPr>
      <w:r>
        <w:rPr>
          <w:rFonts w:hint="eastAsia" w:ascii="方正小标宋简体" w:hAnsi="方正小标宋简体" w:eastAsia="方正小标宋简体" w:cs="方正小标宋简体"/>
          <w:b w:val="0"/>
          <w:bCs/>
          <w:color w:val="auto"/>
          <w:kern w:val="2"/>
          <w:sz w:val="32"/>
          <w:szCs w:val="32"/>
          <w:lang w:val="zh-TW" w:eastAsia="zh-TW" w:bidi="zh-TW"/>
        </w:rPr>
        <w:t>表B.4  特种设备隐患排查清单——移动式压力容器(装卸)专项要求</w:t>
      </w:r>
    </w:p>
    <w:tbl>
      <w:tblPr>
        <w:tblStyle w:val="8"/>
        <w:tblW w:w="146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61"/>
        <w:gridCol w:w="887"/>
        <w:gridCol w:w="1559"/>
        <w:gridCol w:w="992"/>
        <w:gridCol w:w="103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90" w:hRule="atLeast"/>
        </w:trPr>
        <w:tc>
          <w:tcPr>
            <w:tcW w:w="861"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18"/>
                <w:szCs w:val="18"/>
                <w:lang w:eastAsia="zh-CN"/>
              </w:rPr>
            </w:pPr>
            <w:r>
              <w:rPr>
                <w:rFonts w:ascii="Times New Roman" w:hAnsi="Times New Roman" w:eastAsia="黑体" w:cs="Times New Roman"/>
                <w:b w:val="0"/>
                <w:bCs/>
                <w:color w:val="auto"/>
                <w:sz w:val="18"/>
                <w:szCs w:val="18"/>
                <w:lang w:eastAsia="zh-CN"/>
              </w:rPr>
              <w:t>实施单位</w:t>
            </w:r>
          </w:p>
        </w:tc>
        <w:tc>
          <w:tcPr>
            <w:tcW w:w="887"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18"/>
                <w:szCs w:val="18"/>
                <w:lang w:eastAsia="zh-CN"/>
              </w:rPr>
            </w:pPr>
            <w:r>
              <w:rPr>
                <w:rFonts w:ascii="Times New Roman" w:hAnsi="Times New Roman" w:eastAsia="黑体" w:cs="Times New Roman"/>
                <w:b w:val="0"/>
                <w:bCs/>
                <w:color w:val="auto"/>
                <w:sz w:val="18"/>
                <w:szCs w:val="18"/>
                <w:lang w:eastAsia="zh-CN"/>
              </w:rPr>
              <w:t>排查时间</w:t>
            </w:r>
          </w:p>
        </w:tc>
        <w:tc>
          <w:tcPr>
            <w:tcW w:w="2551"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18"/>
                <w:szCs w:val="18"/>
                <w:lang w:val="en-US" w:eastAsia="zh-CN" w:bidi="en-US"/>
              </w:rPr>
            </w:pPr>
            <w:r>
              <w:rPr>
                <w:rFonts w:ascii="Times New Roman" w:hAnsi="Times New Roman" w:eastAsia="黑体" w:cs="Times New Roman"/>
                <w:b w:val="0"/>
                <w:bCs/>
                <w:color w:val="auto"/>
                <w:sz w:val="18"/>
                <w:szCs w:val="18"/>
                <w:lang w:val="en-US" w:eastAsia="zh-CN" w:bidi="en-US"/>
              </w:rPr>
              <w:t>排查依据</w:t>
            </w:r>
          </w:p>
        </w:tc>
        <w:tc>
          <w:tcPr>
            <w:tcW w:w="10317"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18"/>
                <w:szCs w:val="18"/>
                <w:lang w:eastAsia="zh-CN"/>
              </w:rPr>
            </w:pPr>
            <w:r>
              <w:rPr>
                <w:rFonts w:ascii="Times New Roman" w:hAnsi="Times New Roman" w:eastAsia="黑体" w:cs="Times New Roman"/>
                <w:b w:val="0"/>
                <w:bCs/>
                <w:color w:val="auto"/>
                <w:sz w:val="18"/>
                <w:szCs w:val="18"/>
                <w:lang w:eastAsia="zh-CN"/>
              </w:rPr>
              <w:t>排查要求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55" w:hRule="atLeast"/>
        </w:trPr>
        <w:tc>
          <w:tcPr>
            <w:tcW w:w="86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1559" w:type="dxa"/>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18"/>
                <w:szCs w:val="18"/>
                <w:lang w:eastAsia="zh-CN"/>
              </w:rPr>
            </w:pPr>
            <w:r>
              <w:rPr>
                <w:rFonts w:ascii="Times New Roman" w:hAnsi="Times New Roman" w:eastAsia="黑体" w:cs="Times New Roman"/>
                <w:b w:val="0"/>
                <w:bCs/>
                <w:color w:val="auto"/>
                <w:sz w:val="18"/>
                <w:szCs w:val="18"/>
                <w:lang w:eastAsia="zh-CN"/>
              </w:rPr>
              <w:t>法规标准</w:t>
            </w:r>
          </w:p>
        </w:tc>
        <w:tc>
          <w:tcPr>
            <w:tcW w:w="992" w:type="dxa"/>
            <w:shd w:val="clear" w:color="auto" w:fill="FFFFFF"/>
            <w:noWrap/>
            <w:vAlign w:val="center"/>
          </w:tcPr>
          <w:p>
            <w:pPr>
              <w:pStyle w:val="10"/>
              <w:snapToGrid w:val="0"/>
              <w:spacing w:line="240" w:lineRule="auto"/>
              <w:jc w:val="center"/>
              <w:rPr>
                <w:rFonts w:ascii="Times New Roman" w:hAnsi="Times New Roman" w:eastAsia="黑体" w:cs="Times New Roman"/>
                <w:b w:val="0"/>
                <w:bCs/>
                <w:color w:val="auto"/>
                <w:sz w:val="18"/>
                <w:szCs w:val="18"/>
                <w:lang w:eastAsia="zh-CN"/>
              </w:rPr>
            </w:pPr>
            <w:r>
              <w:rPr>
                <w:rFonts w:ascii="Times New Roman" w:hAnsi="Times New Roman" w:eastAsia="黑体" w:cs="Times New Roman"/>
                <w:b w:val="0"/>
                <w:bCs/>
                <w:color w:val="auto"/>
                <w:sz w:val="18"/>
                <w:szCs w:val="18"/>
                <w:lang w:eastAsia="zh-CN"/>
              </w:rPr>
              <w:t>适用条款</w:t>
            </w:r>
          </w:p>
        </w:tc>
        <w:tc>
          <w:tcPr>
            <w:tcW w:w="10317"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669" w:hRule="atLeast"/>
        </w:trPr>
        <w:tc>
          <w:tcPr>
            <w:tcW w:w="861"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特种设备装卸单位</w:t>
            </w:r>
          </w:p>
        </w:tc>
        <w:tc>
          <w:tcPr>
            <w:tcW w:w="8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装卸前</w:t>
            </w:r>
          </w:p>
        </w:tc>
        <w:tc>
          <w:tcPr>
            <w:tcW w:w="1559"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移动式压力容器安全技术监察规程</w:t>
            </w:r>
            <w:r>
              <w:rPr>
                <w:rFonts w:ascii="Times New Roman" w:hAnsi="Times New Roman" w:eastAsia="Times New Roman" w:cs="Times New Roman"/>
                <w:color w:val="auto"/>
                <w:sz w:val="18"/>
                <w:szCs w:val="18"/>
                <w:lang w:val="en-US" w:eastAsia="zh-CN" w:bidi="en-US"/>
              </w:rPr>
              <w:t>(TSG R</w:t>
            </w:r>
            <w:r>
              <w:rPr>
                <w:rFonts w:ascii="Times New Roman" w:hAnsi="Times New Roman" w:cs="Times New Roman"/>
                <w:color w:val="auto"/>
                <w:sz w:val="18"/>
                <w:szCs w:val="18"/>
                <w:lang w:val="en-US" w:eastAsia="zh-CN" w:bidi="en-US"/>
              </w:rPr>
              <w:t>000</w:t>
            </w:r>
            <w:r>
              <w:rPr>
                <w:rFonts w:ascii="Times New Roman" w:hAnsi="Times New Roman" w:eastAsia="Times New Roman" w:cs="Times New Roman"/>
                <w:color w:val="auto"/>
                <w:sz w:val="18"/>
                <w:szCs w:val="18"/>
                <w:lang w:val="en-US" w:eastAsia="zh-CN" w:bidi="en-US"/>
              </w:rPr>
              <w:t>5-</w:t>
            </w:r>
            <w:r>
              <w:rPr>
                <w:rFonts w:ascii="Times New Roman" w:hAnsi="Times New Roman" w:eastAsia="Times New Roman" w:cs="Times New Roman"/>
                <w:color w:val="auto"/>
                <w:sz w:val="18"/>
                <w:szCs w:val="18"/>
              </w:rPr>
              <w:t>2011)</w:t>
            </w: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val="en-US" w:eastAsia="zh-CN" w:bidi="en-US"/>
              </w:rPr>
              <w:t>6.4.1</w:t>
            </w:r>
          </w:p>
        </w:tc>
        <w:tc>
          <w:tcPr>
            <w:tcW w:w="10317"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装卸前应当对移动式压力容器逐台进行检查，检查是否符合以下要求：</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lang w:eastAsia="zh-CN"/>
              </w:rPr>
              <w:t xml:space="preserve">)  </w:t>
            </w:r>
            <w:r>
              <w:rPr>
                <w:rFonts w:ascii="Times New Roman" w:hAnsi="Times New Roman" w:cs="Times New Roman"/>
                <w:color w:val="auto"/>
                <w:sz w:val="18"/>
                <w:szCs w:val="18"/>
              </w:rPr>
              <w:t>随车规定携带的文件和资料应当齐全有效，并且装卸的介质应与铭牌和使用登记资料、标志一致；</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lang w:eastAsia="zh-CN"/>
              </w:rPr>
              <w:t xml:space="preserve">)  </w:t>
            </w:r>
            <w:r>
              <w:rPr>
                <w:rFonts w:ascii="Times New Roman" w:hAnsi="Times New Roman" w:cs="Times New Roman"/>
                <w:color w:val="auto"/>
                <w:sz w:val="18"/>
                <w:szCs w:val="18"/>
              </w:rPr>
              <w:t>首次充装投入使用并且有置换要求的，应当有置换合格报告或者证明文件；</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hAnsi="Times New Roman" w:cs="Times New Roman"/>
                <w:color w:val="auto"/>
                <w:sz w:val="18"/>
                <w:szCs w:val="18"/>
              </w:rPr>
              <w:t>购买、充装剧毒介质的，应当有剧毒介质(剧毒化学品)的购买凭证、准购证以及运输通行证；</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(4)  </w:t>
            </w:r>
            <w:r>
              <w:rPr>
                <w:rFonts w:ascii="Times New Roman" w:hAnsi="Times New Roman" w:cs="Times New Roman"/>
                <w:color w:val="auto"/>
                <w:sz w:val="18"/>
                <w:szCs w:val="18"/>
              </w:rPr>
              <w:t>随车作业人员应当持证上岗，资格证书有效；</w:t>
            </w:r>
          </w:p>
          <w:p>
            <w:pPr>
              <w:pStyle w:val="10"/>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(5)  </w:t>
            </w:r>
            <w:r>
              <w:rPr>
                <w:rFonts w:ascii="Times New Roman" w:hAnsi="Times New Roman" w:cs="Times New Roman"/>
                <w:color w:val="auto"/>
                <w:sz w:val="18"/>
                <w:szCs w:val="18"/>
              </w:rPr>
              <w:t>移动式压力容器铭牌与各种标志(包括颜色、环形色带、警示性、介质等)应当符合相关规定，充装的介质与罐体或者 气瓶涂装标志一致；</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(6)  </w:t>
            </w:r>
            <w:r>
              <w:rPr>
                <w:rFonts w:ascii="Times New Roman" w:hAnsi="Times New Roman" w:cs="Times New Roman"/>
                <w:color w:val="auto"/>
                <w:sz w:val="18"/>
                <w:szCs w:val="18"/>
              </w:rPr>
              <w:t>移动式压力容器应当在定期检验有效期内，安全附件应当齐全、工作状态正常，并且在校验有效期内；</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(7)  </w:t>
            </w:r>
            <w:r>
              <w:rPr>
                <w:rFonts w:ascii="Times New Roman" w:hAnsi="Times New Roman" w:cs="Times New Roman"/>
                <w:color w:val="auto"/>
                <w:sz w:val="18"/>
                <w:szCs w:val="18"/>
              </w:rPr>
              <w:t>压力、温度、充装量(或者剩余量)应当符合要求；</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(8)  </w:t>
            </w:r>
            <w:r>
              <w:rPr>
                <w:rFonts w:ascii="Times New Roman" w:hAnsi="Times New Roman" w:cs="Times New Roman"/>
                <w:color w:val="auto"/>
                <w:sz w:val="18"/>
                <w:szCs w:val="18"/>
              </w:rPr>
              <w:t>各密封面的密封状态应当完好无泄漏；</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(9)  </w:t>
            </w:r>
            <w:r>
              <w:rPr>
                <w:rFonts w:ascii="Times New Roman" w:hAnsi="Times New Roman" w:cs="Times New Roman"/>
                <w:color w:val="auto"/>
                <w:sz w:val="18"/>
                <w:szCs w:val="18"/>
              </w:rPr>
              <w:t>随车防护用具、检查和维护保养、维修等专用工具和备品、备件应当配备齐全、完好；</w:t>
            </w:r>
          </w:p>
          <w:p>
            <w:pPr>
              <w:pStyle w:val="10"/>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(10)  </w:t>
            </w:r>
            <w:r>
              <w:rPr>
                <w:rFonts w:ascii="Times New Roman" w:hAnsi="Times New Roman" w:cs="Times New Roman"/>
                <w:color w:val="auto"/>
                <w:sz w:val="18"/>
                <w:szCs w:val="18"/>
              </w:rPr>
              <w:t>易燃、易爆介质作业现场应当采取防止明火和防静电措施；</w:t>
            </w:r>
          </w:p>
          <w:p>
            <w:pPr>
              <w:pStyle w:val="10"/>
              <w:tabs>
                <w:tab w:val="left" w:pos="408"/>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(11)  </w:t>
            </w:r>
            <w:r>
              <w:rPr>
                <w:rFonts w:ascii="Times New Roman" w:hAnsi="Times New Roman" w:cs="Times New Roman"/>
                <w:color w:val="auto"/>
                <w:sz w:val="18"/>
                <w:szCs w:val="18"/>
              </w:rPr>
              <w:t>装卸液氧等氧化性介质的连接接头应当采取避免油脂污染措施；</w:t>
            </w:r>
          </w:p>
          <w:p>
            <w:pPr>
              <w:pStyle w:val="10"/>
              <w:tabs>
                <w:tab w:val="left" w:pos="408"/>
              </w:tabs>
              <w:snapToGrid w:val="0"/>
              <w:spacing w:line="240" w:lineRule="auto"/>
              <w:rPr>
                <w:rFonts w:ascii="Times New Roman" w:hAnsi="Times New Roman" w:eastAsia="PMingLiU" w:cs="Times New Roman"/>
                <w:color w:val="auto"/>
                <w:sz w:val="18"/>
                <w:szCs w:val="18"/>
              </w:rPr>
            </w:pPr>
            <w:r>
              <w:rPr>
                <w:rFonts w:ascii="Times New Roman" w:hAnsi="Times New Roman" w:cs="Times New Roman"/>
                <w:color w:val="auto"/>
                <w:sz w:val="18"/>
                <w:szCs w:val="18"/>
                <w:lang w:eastAsia="zh-CN"/>
              </w:rPr>
              <w:t xml:space="preserve">(12)  </w:t>
            </w:r>
            <w:r>
              <w:rPr>
                <w:rFonts w:ascii="Times New Roman" w:hAnsi="Times New Roman" w:cs="Times New Roman"/>
                <w:color w:val="auto"/>
                <w:sz w:val="18"/>
                <w:szCs w:val="18"/>
              </w:rPr>
              <w:t>罐体或者气瓶与走行装置或者框架的连接应当完好、可靠。</w:t>
            </w:r>
          </w:p>
          <w:p>
            <w:pPr>
              <w:pStyle w:val="10"/>
              <w:tabs>
                <w:tab w:val="left" w:pos="408"/>
              </w:tabs>
              <w:snapToGrid w:val="0"/>
              <w:spacing w:line="240" w:lineRule="auto"/>
              <w:rPr>
                <w:rFonts w:ascii="Times New Roman" w:hAnsi="Times New Roman" w:eastAsia="PMingLiU" w:cs="Times New Roman"/>
                <w:color w:val="auto"/>
                <w:sz w:val="18"/>
                <w:szCs w:val="18"/>
                <w:lang w:eastAsia="zh-CN"/>
              </w:rPr>
            </w:pPr>
            <w:r>
              <w:rPr>
                <w:rFonts w:ascii="Times New Roman" w:hAnsi="Times New Roman" w:cs="Times New Roman"/>
                <w:color w:val="auto"/>
                <w:sz w:val="18"/>
                <w:szCs w:val="18"/>
                <w:lang w:val="en-US" w:eastAsia="zh-CN"/>
              </w:rPr>
              <w:t>(13</w:t>
            </w:r>
            <w:r>
              <w:rPr>
                <w:rFonts w:ascii="Times New Roman" w:hAnsi="Times New Roman" w:cs="Times New Roman"/>
                <w:color w:val="auto"/>
                <w:sz w:val="18"/>
                <w:szCs w:val="18"/>
                <w:lang w:eastAsia="zh-CN"/>
              </w:rPr>
              <w:t>)</w:t>
            </w:r>
            <w:r>
              <w:rPr>
                <w:rFonts w:ascii="Times New Roman" w:hAnsi="Times New Roman" w:cs="Times New Roman"/>
                <w:color w:val="auto"/>
                <w:sz w:val="18"/>
                <w:szCs w:val="18"/>
                <w:lang w:val="en-US" w:eastAsia="zh-CN"/>
              </w:rPr>
              <w:t>装设卸液泵的移动式压力容器，其定点卸液信息跟踪及反馈功能的卫星定位系统运行应当正常。</w:t>
            </w:r>
          </w:p>
          <w:p>
            <w:pPr>
              <w:pStyle w:val="10"/>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未经检查合格的移动式压力容器不得进入装卸区域进行装卸作业。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853" w:hRule="atLeast"/>
        </w:trPr>
        <w:tc>
          <w:tcPr>
            <w:tcW w:w="861"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887" w:type="dxa"/>
            <w:shd w:val="clear" w:color="auto" w:fill="FFFFFF"/>
            <w:noWrap/>
            <w:vAlign w:val="center"/>
          </w:tcPr>
          <w:p>
            <w:pPr>
              <w:pStyle w:val="10"/>
              <w:snapToGrid w:val="0"/>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装卸中</w:t>
            </w: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val="en-US" w:eastAsia="zh-CN" w:bidi="en-US"/>
              </w:rPr>
              <w:t>6.4.2</w:t>
            </w:r>
          </w:p>
        </w:tc>
        <w:tc>
          <w:tcPr>
            <w:tcW w:w="10317"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装卸作业过程的工作质量和安全应当符合以下要求：</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lang w:eastAsia="zh-CN"/>
              </w:rPr>
              <w:t xml:space="preserve">)  </w:t>
            </w:r>
            <w:r>
              <w:rPr>
                <w:rFonts w:ascii="Times New Roman" w:hAnsi="Times New Roman" w:cs="Times New Roman"/>
                <w:color w:val="auto"/>
                <w:sz w:val="18"/>
                <w:szCs w:val="18"/>
              </w:rPr>
              <w:t>充装人员必须持证上岗，按照规定的装卸工艺规程进行操作，装卸单位安全管理人员进行巡回检查；</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lang w:eastAsia="zh-CN"/>
              </w:rPr>
              <w:t xml:space="preserve">)  </w:t>
            </w:r>
            <w:r>
              <w:rPr>
                <w:rFonts w:ascii="Times New Roman" w:hAnsi="Times New Roman" w:cs="Times New Roman"/>
                <w:color w:val="auto"/>
                <w:sz w:val="18"/>
                <w:szCs w:val="18"/>
              </w:rPr>
              <w:t>按照指定位置停车，汽车发动机必须熄火，切断车辆总电源,并且采取防止车辆发生滑动的有效措施；</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hAnsi="Times New Roman" w:cs="Times New Roman"/>
                <w:color w:val="auto"/>
                <w:sz w:val="18"/>
                <w:szCs w:val="18"/>
              </w:rPr>
              <w:t>装卸易燃、易爆介质前，移动式压力容器上的导静电装置与装卸台接地线进行连接；</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(4)  </w:t>
            </w:r>
            <w:r>
              <w:rPr>
                <w:rFonts w:ascii="Times New Roman" w:hAnsi="Times New Roman" w:cs="Times New Roman"/>
                <w:color w:val="auto"/>
                <w:sz w:val="18"/>
                <w:szCs w:val="18"/>
              </w:rPr>
              <w:t>装卸接口的盲法兰或者等效装置必须在其内部压力卸尽后卸除；</w:t>
            </w:r>
          </w:p>
          <w:p>
            <w:pPr>
              <w:pStyle w:val="10"/>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(5)  </w:t>
            </w:r>
            <w:r>
              <w:rPr>
                <w:rFonts w:ascii="Times New Roman" w:hAnsi="Times New Roman" w:cs="Times New Roman"/>
                <w:color w:val="auto"/>
                <w:sz w:val="18"/>
                <w:szCs w:val="18"/>
              </w:rPr>
              <w:t>使用充装单位专用的装卸用管进行充装,不得使用随车携带的装卸用管进行充装；</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(6)  </w:t>
            </w:r>
            <w:r>
              <w:rPr>
                <w:rFonts w:ascii="Times New Roman" w:hAnsi="Times New Roman" w:cs="Times New Roman"/>
                <w:color w:val="auto"/>
                <w:sz w:val="18"/>
                <w:szCs w:val="18"/>
              </w:rPr>
              <w:t>装卸用管与移动式压力容器的连接符合充装工艺规程的要求，连接必须安全可靠；</w:t>
            </w:r>
          </w:p>
          <w:p>
            <w:pPr>
              <w:pStyle w:val="10"/>
              <w:tabs>
                <w:tab w:val="left" w:pos="317"/>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(7)  </w:t>
            </w:r>
            <w:r>
              <w:rPr>
                <w:rFonts w:ascii="Times New Roman" w:hAnsi="Times New Roman" w:cs="Times New Roman"/>
                <w:color w:val="auto"/>
                <w:sz w:val="18"/>
                <w:szCs w:val="18"/>
              </w:rPr>
              <w:t>装卸不允许与空气混合的介质前，进行管道吹扫或者置换；</w:t>
            </w:r>
          </w:p>
          <w:p>
            <w:pPr>
              <w:pStyle w:val="10"/>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(8)  </w:t>
            </w:r>
            <w:r>
              <w:rPr>
                <w:rFonts w:ascii="Times New Roman" w:hAnsi="Times New Roman" w:cs="Times New Roman"/>
                <w:color w:val="auto"/>
                <w:sz w:val="18"/>
                <w:szCs w:val="18"/>
              </w:rPr>
              <w:t>装卸作业过程中，操作人员必须处在规定的工作岗位上；配置紧急切断装置的，操作人员必须位于紧急切断装置的远控系统位置</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配置装卸安全连锁报警保护装置的，该装置处于完好的工作状态；</w:t>
            </w:r>
          </w:p>
          <w:p>
            <w:pPr>
              <w:pStyle w:val="10"/>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(9)  </w:t>
            </w:r>
            <w:r>
              <w:rPr>
                <w:rFonts w:ascii="Times New Roman" w:hAnsi="Times New Roman" w:cs="Times New Roman"/>
                <w:color w:val="auto"/>
                <w:sz w:val="18"/>
                <w:szCs w:val="18"/>
              </w:rPr>
              <w:t>装卸时的压力、温度和流速符合与所装卸介质相关的技术规范及其相应标准的要求，超过规定指标时必须迅速采取有效措施；</w:t>
            </w:r>
          </w:p>
          <w:p>
            <w:pPr>
              <w:pStyle w:val="10"/>
              <w:tabs>
                <w:tab w:val="left" w:pos="317"/>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(10)  </w:t>
            </w:r>
            <w:r>
              <w:rPr>
                <w:rFonts w:ascii="Times New Roman" w:hAnsi="Times New Roman" w:cs="Times New Roman"/>
                <w:color w:val="auto"/>
                <w:sz w:val="18"/>
                <w:szCs w:val="18"/>
              </w:rPr>
              <w:t>移动式压力容器充装量(或者充装压力)不得超过核准的最大允许充装量(或者充装压力)，严禁超装、错装。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901" w:hRule="exact"/>
        </w:trPr>
        <w:tc>
          <w:tcPr>
            <w:tcW w:w="86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87" w:type="dxa"/>
            <w:shd w:val="clear" w:color="auto" w:fill="FFFFFF"/>
            <w:noWrap/>
            <w:vAlign w:val="center"/>
          </w:tcPr>
          <w:p>
            <w:pPr>
              <w:pStyle w:val="10"/>
              <w:snapToGrid w:val="0"/>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装卸后</w:t>
            </w:r>
          </w:p>
        </w:tc>
        <w:tc>
          <w:tcPr>
            <w:tcW w:w="15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val="en-US" w:eastAsia="zh-CN" w:bidi="en-US"/>
              </w:rPr>
              <w:t>6.4.3</w:t>
            </w:r>
          </w:p>
        </w:tc>
        <w:tc>
          <w:tcPr>
            <w:tcW w:w="10317"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装卸后的移动式压力容器应当进行检查，检查是否满足以下要求并且进行记录：</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lang w:eastAsia="zh-CN"/>
              </w:rPr>
              <w:t xml:space="preserve">)  </w:t>
            </w:r>
            <w:r>
              <w:rPr>
                <w:rFonts w:ascii="Times New Roman" w:hAnsi="Times New Roman" w:cs="Times New Roman"/>
                <w:color w:val="auto"/>
                <w:sz w:val="18"/>
                <w:szCs w:val="18"/>
              </w:rPr>
              <w:t>移动式压力容器上与装卸作业相关的操作阀门应当置于闭止状态,装卸连接口安装的盲法兰等装置应当符合要求；</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lang w:eastAsia="zh-CN"/>
              </w:rPr>
              <w:t xml:space="preserve">)  </w:t>
            </w:r>
            <w:r>
              <w:rPr>
                <w:rFonts w:ascii="Times New Roman" w:hAnsi="Times New Roman" w:cs="Times New Roman"/>
                <w:color w:val="auto"/>
                <w:sz w:val="18"/>
                <w:szCs w:val="18"/>
              </w:rPr>
              <w:t>压力、温度、充装量(或者剩余量)应当符合要求；</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hAnsi="Times New Roman" w:cs="Times New Roman"/>
                <w:color w:val="auto"/>
                <w:sz w:val="18"/>
                <w:szCs w:val="18"/>
              </w:rPr>
              <w:t>移动式压力容器所有密封面、阀门、接管等应当无泄漏；</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(4)  </w:t>
            </w:r>
            <w:r>
              <w:rPr>
                <w:rFonts w:ascii="Times New Roman" w:hAnsi="Times New Roman" w:cs="Times New Roman"/>
                <w:color w:val="auto"/>
                <w:sz w:val="18"/>
                <w:szCs w:val="18"/>
              </w:rPr>
              <w:t>所有安全附件、装卸附件应当完好；</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(5)  </w:t>
            </w:r>
            <w:r>
              <w:rPr>
                <w:rFonts w:ascii="Times New Roman" w:hAnsi="Times New Roman" w:cs="Times New Roman"/>
                <w:color w:val="auto"/>
                <w:sz w:val="18"/>
                <w:szCs w:val="18"/>
              </w:rPr>
              <w:t>充装冷冻液化气体的移动式压力容器，其罐体外壁不应存在结露、结霜现象；</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(6)  </w:t>
            </w:r>
            <w:r>
              <w:rPr>
                <w:rFonts w:ascii="Times New Roman" w:hAnsi="Times New Roman" w:cs="Times New Roman"/>
                <w:color w:val="auto"/>
                <w:sz w:val="18"/>
                <w:szCs w:val="18"/>
              </w:rPr>
              <w:t>移动式压力容器与装卸台的所有连接件应当分离。</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充装完成后，复核充装介质和充装量(或者充装压力)，如有超装、错装，充装单位必须立即处理，否则严禁车辆驶离充装单位。</w:t>
            </w:r>
          </w:p>
        </w:tc>
      </w:tr>
    </w:tbl>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auto"/>
          <w:kern w:val="2"/>
          <w:sz w:val="32"/>
          <w:szCs w:val="32"/>
          <w:lang w:val="zh-TW" w:eastAsia="zh-TW" w:bidi="zh-TW"/>
        </w:rPr>
      </w:pPr>
      <w:r>
        <w:rPr>
          <w:rFonts w:hint="eastAsia" w:ascii="方正小标宋简体" w:hAnsi="方正小标宋简体" w:eastAsia="方正小标宋简体" w:cs="方正小标宋简体"/>
          <w:b w:val="0"/>
          <w:bCs/>
          <w:color w:val="auto"/>
          <w:kern w:val="2"/>
          <w:sz w:val="32"/>
          <w:szCs w:val="32"/>
          <w:lang w:val="zh-TW" w:eastAsia="zh-TW" w:bidi="zh-TW"/>
        </w:rPr>
        <w:t>表B.5  特种设备隐患排查清单——氧舱专项要求</w:t>
      </w:r>
    </w:p>
    <w:tbl>
      <w:tblPr>
        <w:tblStyle w:val="8"/>
        <w:tblW w:w="14671"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61"/>
        <w:gridCol w:w="430"/>
        <w:gridCol w:w="567"/>
        <w:gridCol w:w="851"/>
        <w:gridCol w:w="850"/>
        <w:gridCol w:w="992"/>
        <w:gridCol w:w="101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44" w:hRule="atLeast"/>
        </w:trPr>
        <w:tc>
          <w:tcPr>
            <w:tcW w:w="861"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排查内容(途径)</w:t>
            </w:r>
          </w:p>
        </w:tc>
        <w:tc>
          <w:tcPr>
            <w:tcW w:w="430"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实施单位</w:t>
            </w:r>
          </w:p>
        </w:tc>
        <w:tc>
          <w:tcPr>
            <w:tcW w:w="567"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排查人</w:t>
            </w:r>
          </w:p>
        </w:tc>
        <w:tc>
          <w:tcPr>
            <w:tcW w:w="851"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排查时间</w:t>
            </w:r>
          </w:p>
        </w:tc>
        <w:tc>
          <w:tcPr>
            <w:tcW w:w="1842"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val="en-US" w:eastAsia="zh-CN" w:bidi="en-US"/>
              </w:rPr>
            </w:pPr>
            <w:r>
              <w:rPr>
                <w:rFonts w:ascii="Times New Roman" w:hAnsi="Times New Roman" w:eastAsia="黑体" w:cs="Times New Roman"/>
                <w:b/>
                <w:color w:val="auto"/>
                <w:sz w:val="18"/>
                <w:szCs w:val="18"/>
                <w:lang w:val="en-US" w:eastAsia="zh-CN" w:bidi="en-US"/>
              </w:rPr>
              <w:t>排查依据</w:t>
            </w:r>
          </w:p>
        </w:tc>
        <w:tc>
          <w:tcPr>
            <w:tcW w:w="10120"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92" w:hRule="exact"/>
        </w:trPr>
        <w:tc>
          <w:tcPr>
            <w:tcW w:w="86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430" w:type="dxa"/>
            <w:vMerge w:val="continue"/>
            <w:shd w:val="clear" w:color="auto" w:fill="FFFFFF"/>
            <w:noWrap/>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567" w:type="dxa"/>
            <w:vMerge w:val="continue"/>
            <w:shd w:val="clear" w:color="auto" w:fill="FFFFFF"/>
            <w:noWrap/>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0"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法规标准</w:t>
            </w:r>
          </w:p>
        </w:tc>
        <w:tc>
          <w:tcPr>
            <w:tcW w:w="992"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适用条款</w:t>
            </w:r>
          </w:p>
        </w:tc>
        <w:tc>
          <w:tcPr>
            <w:tcW w:w="10120"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400" w:hRule="atLeas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日常安</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全检查</w:t>
            </w:r>
          </w:p>
        </w:tc>
        <w:tc>
          <w:tcPr>
            <w:tcW w:w="43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使用单位</w:t>
            </w:r>
          </w:p>
        </w:tc>
        <w:tc>
          <w:tcPr>
            <w:tcW w:w="56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自定</w:t>
            </w: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自定</w:t>
            </w:r>
          </w:p>
        </w:tc>
        <w:tc>
          <w:tcPr>
            <w:tcW w:w="850" w:type="dxa"/>
            <w:vMerge w:val="restart"/>
            <w:shd w:val="clear" w:color="auto" w:fill="FFFFFF"/>
            <w:noWrap/>
            <w:vAlign w:val="center"/>
          </w:tcPr>
          <w:p>
            <w:pPr>
              <w:snapToGrid w:val="0"/>
              <w:jc w:val="center"/>
              <w:rPr>
                <w:rFonts w:ascii="Times New Roman" w:hAnsi="Times New Roman" w:cs="Times New Roman"/>
                <w:color w:val="auto"/>
                <w:sz w:val="18"/>
                <w:szCs w:val="18"/>
              </w:rPr>
            </w:pPr>
            <w:r>
              <w:rPr>
                <w:rFonts w:ascii="Times New Roman" w:hAnsi="Times New Roman" w:eastAsia="宋体" w:cs="Times New Roman"/>
                <w:color w:val="auto"/>
                <w:sz w:val="18"/>
                <w:szCs w:val="18"/>
                <w:lang w:val="zh-TW" w:eastAsia="zh-TW" w:bidi="zh-TW"/>
              </w:rPr>
              <w:t>氧舱安全技术监察规程(TSG 24-2015)</w:t>
            </w: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rPr>
              <w:t>8</w:t>
            </w: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1(6)</w:t>
            </w: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8</w:t>
            </w: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2(4)</w:t>
            </w:r>
          </w:p>
        </w:tc>
        <w:tc>
          <w:tcPr>
            <w:tcW w:w="10120" w:type="dxa"/>
            <w:shd w:val="clear" w:color="auto" w:fill="FFFFFF"/>
            <w:noWrap/>
            <w:vAlign w:val="center"/>
          </w:tcPr>
          <w:p>
            <w:pPr>
              <w:pStyle w:val="10"/>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(使用单位根据设备运行情况及安全要求自行以书面形式确定)氧舱管理的专项制度：日常安全检查、年度检查和隐患处理制度。</w:t>
            </w:r>
          </w:p>
          <w:p>
            <w:pPr>
              <w:pStyle w:val="10"/>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使用单位应组织实施定期自行检查(包括日常安全检查和年度检查)工作,并且记录安全检查情况和问题以及采取的处理措施。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795"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维护保养</w:t>
            </w:r>
          </w:p>
        </w:tc>
        <w:tc>
          <w:tcPr>
            <w:tcW w:w="43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使用单位</w:t>
            </w:r>
          </w:p>
        </w:tc>
        <w:tc>
          <w:tcPr>
            <w:tcW w:w="56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安全管理人员</w:t>
            </w: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每月至少一次</w:t>
            </w:r>
          </w:p>
        </w:tc>
        <w:tc>
          <w:tcPr>
            <w:tcW w:w="850"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rPr>
              <w:t>8.1(3)</w:t>
            </w:r>
            <w:r>
              <w:rPr>
                <w:rFonts w:ascii="Times New Roman" w:hAnsi="Times New Roman" w:cs="Times New Roman"/>
                <w:color w:val="auto"/>
                <w:sz w:val="18"/>
                <w:szCs w:val="18"/>
              </w:rPr>
              <w:t>、</w:t>
            </w:r>
            <w:r>
              <w:rPr>
                <w:rFonts w:ascii="Times New Roman" w:hAnsi="Times New Roman" w:eastAsia="Times New Roman" w:cs="Times New Roman"/>
                <w:color w:val="auto"/>
                <w:sz w:val="18"/>
                <w:szCs w:val="18"/>
                <w:lang w:val="en-US" w:eastAsia="en-US" w:bidi="en-US"/>
              </w:rPr>
              <w:t>8.2.5</w:t>
            </w:r>
          </w:p>
        </w:tc>
        <w:tc>
          <w:tcPr>
            <w:tcW w:w="10120" w:type="dxa"/>
            <w:shd w:val="clear" w:color="auto" w:fill="FFFFFF"/>
            <w:noWrap/>
            <w:vAlign w:val="center"/>
          </w:tcPr>
          <w:p>
            <w:pPr>
              <w:pStyle w:val="10"/>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维护保养工作的时间根据氧舱使用情况确定，但是每月至少一次。维护保养工作由使用单位安全管理人员组织，维护保养人员进行，也可以委托具有维护保养能力的专业机构进行。</w:t>
            </w:r>
          </w:p>
          <w:p>
            <w:pPr>
              <w:pStyle w:val="10"/>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维护保养项目和内容按照氧舱使用维护说明书的要求，检查氧舱使用情况，进行清洁、更换易损零部件、修复和排除故障，保持氧舱安全使用状态，并且记录维护保养情况。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6802"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年度</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检查</w:t>
            </w:r>
          </w:p>
        </w:tc>
        <w:tc>
          <w:tcPr>
            <w:tcW w:w="43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使用单位或委托专业检验机构</w:t>
            </w:r>
          </w:p>
        </w:tc>
        <w:tc>
          <w:tcPr>
            <w:tcW w:w="56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安全管理人员</w:t>
            </w: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w:t>
            </w:r>
            <w:r>
              <w:rPr>
                <w:rFonts w:ascii="Times New Roman" w:hAnsi="Times New Roman" w:cs="Times New Roman"/>
                <w:color w:val="auto"/>
                <w:sz w:val="18"/>
                <w:szCs w:val="18"/>
                <w:lang w:eastAsia="zh-CN"/>
              </w:rPr>
              <w:t>年</w:t>
            </w:r>
            <w:r>
              <w:rPr>
                <w:rFonts w:ascii="Times New Roman" w:hAnsi="Times New Roman" w:cs="Times New Roman"/>
                <w:color w:val="auto"/>
                <w:sz w:val="18"/>
                <w:szCs w:val="18"/>
              </w:rPr>
              <w:t>至少</w:t>
            </w:r>
            <w:r>
              <w:rPr>
                <w:rFonts w:ascii="Times New Roman" w:hAnsi="Times New Roman" w:cs="Times New Roman"/>
                <w:color w:val="auto"/>
                <w:sz w:val="18"/>
                <w:szCs w:val="18"/>
                <w:lang w:eastAsia="zh-CN"/>
              </w:rPr>
              <w:t>一</w:t>
            </w:r>
            <w:r>
              <w:rPr>
                <w:rFonts w:ascii="Times New Roman" w:hAnsi="Times New Roman" w:cs="Times New Roman"/>
                <w:color w:val="auto"/>
                <w:sz w:val="18"/>
                <w:szCs w:val="18"/>
              </w:rPr>
              <w:t>次</w:t>
            </w:r>
          </w:p>
        </w:tc>
        <w:tc>
          <w:tcPr>
            <w:tcW w:w="850"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rPr>
              <w:t>8.1(3)</w:t>
            </w: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8</w:t>
            </w: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1(6)</w:t>
            </w:r>
            <w:r>
              <w:rPr>
                <w:rFonts w:ascii="Times New Roman" w:hAnsi="Times New Roman" w:cs="Times New Roman"/>
                <w:color w:val="auto"/>
                <w:sz w:val="18"/>
                <w:szCs w:val="18"/>
              </w:rPr>
              <w:t>、</w:t>
            </w:r>
            <w:r>
              <w:rPr>
                <w:rFonts w:ascii="Times New Roman" w:hAnsi="Times New Roman" w:eastAsia="Times New Roman" w:cs="Times New Roman"/>
                <w:color w:val="auto"/>
                <w:sz w:val="18"/>
                <w:szCs w:val="18"/>
                <w:lang w:val="en-US" w:eastAsia="en-US" w:bidi="en-US"/>
              </w:rPr>
              <w:t>8.4</w:t>
            </w:r>
          </w:p>
        </w:tc>
        <w:tc>
          <w:tcPr>
            <w:tcW w:w="10120" w:type="dxa"/>
            <w:shd w:val="clear" w:color="auto" w:fill="FFFFFF"/>
            <w:noWrap/>
            <w:vAlign w:val="center"/>
          </w:tcPr>
          <w:p>
            <w:pPr>
              <w:pStyle w:val="10"/>
              <w:numPr>
                <w:ilvl w:val="0"/>
                <w:numId w:val="38"/>
              </w:numPr>
              <w:tabs>
                <w:tab w:val="left" w:pos="20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安全管理工作情况</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检查本年度使用安全管理工作情况。</w:t>
            </w:r>
          </w:p>
          <w:p>
            <w:pPr>
              <w:pStyle w:val="10"/>
              <w:numPr>
                <w:ilvl w:val="0"/>
                <w:numId w:val="38"/>
              </w:numPr>
              <w:tabs>
                <w:tab w:val="left" w:pos="20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资料</w:t>
            </w:r>
          </w:p>
          <w:p>
            <w:pPr>
              <w:pStyle w:val="10"/>
              <w:tabs>
                <w:tab w:val="left" w:pos="31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(1)  </w:t>
            </w:r>
            <w:r>
              <w:rPr>
                <w:rFonts w:ascii="Times New Roman" w:hAnsi="Times New Roman" w:cs="Times New Roman"/>
                <w:color w:val="auto"/>
                <w:sz w:val="18"/>
                <w:szCs w:val="18"/>
              </w:rPr>
              <w:t>本年度内氧舱的运行、维护保养记录；</w:t>
            </w:r>
          </w:p>
          <w:p>
            <w:pPr>
              <w:pStyle w:val="10"/>
              <w:tabs>
                <w:tab w:val="left" w:pos="32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(2)  </w:t>
            </w:r>
            <w:r>
              <w:rPr>
                <w:rFonts w:ascii="Times New Roman" w:hAnsi="Times New Roman" w:cs="Times New Roman"/>
                <w:color w:val="auto"/>
                <w:sz w:val="18"/>
                <w:szCs w:val="18"/>
              </w:rPr>
              <w:t>安全附件与安全保护装置及仪表检验或者检定记录、报告；</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hAnsi="Times New Roman" w:cs="Times New Roman"/>
                <w:color w:val="auto"/>
                <w:sz w:val="18"/>
                <w:szCs w:val="18"/>
              </w:rPr>
              <w:t>安全管理、维护保养人员的资格证。</w:t>
            </w:r>
          </w:p>
          <w:p>
            <w:pPr>
              <w:pStyle w:val="10"/>
              <w:numPr>
                <w:ilvl w:val="0"/>
                <w:numId w:val="38"/>
              </w:numPr>
              <w:tabs>
                <w:tab w:val="left" w:pos="19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舱体</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(1)  </w:t>
            </w:r>
            <w:r>
              <w:rPr>
                <w:rFonts w:ascii="Times New Roman" w:hAnsi="Times New Roman" w:cs="Times New Roman"/>
                <w:color w:val="auto"/>
                <w:sz w:val="18"/>
                <w:szCs w:val="18"/>
              </w:rPr>
              <w:t>舱门、递物筒的密封材料是否老化、变形；</w:t>
            </w:r>
          </w:p>
          <w:p>
            <w:pPr>
              <w:pStyle w:val="10"/>
              <w:tabs>
                <w:tab w:val="left" w:pos="32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(2)  </w:t>
            </w:r>
            <w:r>
              <w:rPr>
                <w:rFonts w:ascii="Times New Roman" w:hAnsi="Times New Roman" w:cs="Times New Roman"/>
                <w:color w:val="auto"/>
                <w:sz w:val="18"/>
                <w:szCs w:val="18"/>
              </w:rPr>
              <w:t>医用氧气加压氧舱舱内导静电装置的连接情况是否符合要求；</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hAnsi="Times New Roman" w:cs="Times New Roman"/>
                <w:color w:val="auto"/>
                <w:sz w:val="18"/>
                <w:szCs w:val="18"/>
              </w:rPr>
              <w:t>有机玻璃材料是否有划伤、劣化、银纹等缺陷以及泄漏情况；</w:t>
            </w:r>
          </w:p>
          <w:p>
            <w:pPr>
              <w:pStyle w:val="10"/>
              <w:tabs>
                <w:tab w:val="left" w:pos="32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(4)  </w:t>
            </w:r>
            <w:r>
              <w:rPr>
                <w:rFonts w:ascii="Times New Roman" w:hAnsi="Times New Roman" w:cs="Times New Roman"/>
                <w:color w:val="auto"/>
                <w:sz w:val="18"/>
                <w:szCs w:val="18"/>
              </w:rPr>
              <w:t>呼吸气体浓度测定装置采集口是否畅通，保护情况是否良好。</w:t>
            </w:r>
          </w:p>
          <w:p>
            <w:pPr>
              <w:pStyle w:val="10"/>
              <w:numPr>
                <w:ilvl w:val="0"/>
                <w:numId w:val="38"/>
              </w:numPr>
              <w:tabs>
                <w:tab w:val="left" w:pos="20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压力调节及呼吸气系统</w:t>
            </w:r>
          </w:p>
          <w:p>
            <w:pPr>
              <w:pStyle w:val="10"/>
              <w:tabs>
                <w:tab w:val="left" w:pos="32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(1)  </w:t>
            </w:r>
            <w:r>
              <w:rPr>
                <w:rFonts w:ascii="Times New Roman" w:hAnsi="Times New Roman" w:cs="Times New Roman"/>
                <w:color w:val="auto"/>
                <w:sz w:val="18"/>
                <w:szCs w:val="18"/>
              </w:rPr>
              <w:t>氧舱内呼吸装置(包括急救吸氧装置)是否能够正常工作；</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(2)  </w:t>
            </w:r>
            <w:r>
              <w:rPr>
                <w:rFonts w:ascii="Times New Roman" w:hAnsi="Times New Roman" w:cs="Times New Roman"/>
                <w:color w:val="auto"/>
                <w:sz w:val="18"/>
                <w:szCs w:val="18"/>
              </w:rPr>
              <w:t>舱内外应急排气装置开启、关闭是否灵敏可靠，警示标志是否符合要求；</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hAnsi="Times New Roman" w:cs="Times New Roman"/>
                <w:color w:val="auto"/>
                <w:sz w:val="18"/>
                <w:szCs w:val="18"/>
              </w:rPr>
              <w:t>压力调节及呼吸气系统控制阀门操作是否灵敏可靠、无泄漏；</w:t>
            </w:r>
          </w:p>
          <w:p>
            <w:pPr>
              <w:pStyle w:val="10"/>
              <w:tabs>
                <w:tab w:val="left" w:pos="32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(4)  </w:t>
            </w:r>
            <w:r>
              <w:rPr>
                <w:rFonts w:ascii="Times New Roman" w:hAnsi="Times New Roman" w:cs="Times New Roman"/>
                <w:color w:val="auto"/>
                <w:sz w:val="18"/>
                <w:szCs w:val="18"/>
              </w:rPr>
              <w:t>呼吸气系统有无油脂污染现象；</w:t>
            </w:r>
          </w:p>
          <w:p>
            <w:pPr>
              <w:pStyle w:val="10"/>
              <w:tabs>
                <w:tab w:val="left" w:pos="31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(5)  </w:t>
            </w:r>
            <w:r>
              <w:rPr>
                <w:rFonts w:ascii="Times New Roman" w:hAnsi="Times New Roman" w:cs="Times New Roman"/>
                <w:color w:val="auto"/>
                <w:sz w:val="18"/>
                <w:szCs w:val="18"/>
              </w:rPr>
              <w:t>气体过滤材料是否按照相关标准要求进行了清洗、更换；</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(6)  </w:t>
            </w:r>
            <w:r>
              <w:rPr>
                <w:rFonts w:ascii="Times New Roman" w:hAnsi="Times New Roman" w:cs="Times New Roman"/>
                <w:color w:val="auto"/>
                <w:sz w:val="18"/>
                <w:szCs w:val="18"/>
              </w:rPr>
              <w:t>采集气瓶作为呼吸气体供应源的，检查气瓶是否在检验有效期内。</w:t>
            </w:r>
          </w:p>
          <w:p>
            <w:pPr>
              <w:pStyle w:val="10"/>
              <w:numPr>
                <w:ilvl w:val="0"/>
                <w:numId w:val="38"/>
              </w:numPr>
              <w:tabs>
                <w:tab w:val="left" w:pos="211"/>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电气系统与舱内环境调节系统</w:t>
            </w:r>
          </w:p>
          <w:p>
            <w:pPr>
              <w:pStyle w:val="10"/>
              <w:tabs>
                <w:tab w:val="left" w:pos="317"/>
              </w:tabs>
              <w:snapToGrid w:val="0"/>
              <w:spacing w:line="20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(1)  </w:t>
            </w:r>
            <w:r>
              <w:rPr>
                <w:rFonts w:ascii="Times New Roman" w:hAnsi="Times New Roman" w:cs="Times New Roman"/>
                <w:color w:val="auto"/>
                <w:sz w:val="18"/>
                <w:szCs w:val="18"/>
              </w:rPr>
              <w:t>照明装置(应急照明装置)、视频监控装置、通讯对讲装置、应急呼叫装置、温度调节和加湿装置是否能够正常工作；</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(2)  </w:t>
            </w:r>
            <w:r>
              <w:rPr>
                <w:rFonts w:ascii="Times New Roman" w:hAnsi="Times New Roman" w:cs="Times New Roman"/>
                <w:color w:val="auto"/>
                <w:sz w:val="18"/>
                <w:szCs w:val="18"/>
              </w:rPr>
              <w:t>在正常供电网络中断时，应急电源装置是否能够自动投入使用；</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(3)  </w:t>
            </w:r>
            <w:r>
              <w:rPr>
                <w:rFonts w:ascii="Times New Roman" w:hAnsi="Times New Roman" w:cs="Times New Roman"/>
                <w:color w:val="auto"/>
                <w:sz w:val="18"/>
                <w:szCs w:val="18"/>
              </w:rPr>
              <w:t>舱内环境调节系统空调电机，控制装置等工作是否正常。</w:t>
            </w:r>
          </w:p>
          <w:p>
            <w:pPr>
              <w:pStyle w:val="10"/>
              <w:numPr>
                <w:ilvl w:val="0"/>
                <w:numId w:val="39"/>
              </w:numPr>
              <w:tabs>
                <w:tab w:val="left" w:pos="20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消防系统与使用环境</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(1)  </w:t>
            </w:r>
            <w:r>
              <w:rPr>
                <w:rFonts w:ascii="Times New Roman" w:hAnsi="Times New Roman" w:cs="Times New Roman"/>
                <w:color w:val="auto"/>
                <w:sz w:val="18"/>
                <w:szCs w:val="18"/>
              </w:rPr>
              <w:t>水喷淋消防系统是否完好；</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lang w:eastAsia="zh-CN"/>
              </w:rPr>
              <w:t xml:space="preserve">(2)  </w:t>
            </w:r>
            <w:r>
              <w:rPr>
                <w:rFonts w:ascii="Times New Roman" w:hAnsi="Times New Roman" w:cs="Times New Roman"/>
                <w:color w:val="auto"/>
                <w:sz w:val="18"/>
                <w:szCs w:val="18"/>
              </w:rPr>
              <w:t>舱内外配备的消防器材是否在有效期以及警示标志是否符合要求；</w:t>
            </w:r>
          </w:p>
          <w:p>
            <w:pPr>
              <w:pStyle w:val="10"/>
              <w:snapToGrid w:val="0"/>
              <w:spacing w:line="20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 xml:space="preserve">(3)  </w:t>
            </w:r>
            <w:r>
              <w:rPr>
                <w:rFonts w:ascii="Times New Roman" w:hAnsi="Times New Roman" w:cs="Times New Roman"/>
                <w:color w:val="auto"/>
                <w:sz w:val="18"/>
                <w:szCs w:val="18"/>
              </w:rPr>
              <w:t>氧舱以及呼吸气体供应源场地(房间)的防爆、通风、消防措施情况是否符合要求，有无油脂污染情况等。</w:t>
            </w:r>
          </w:p>
          <w:p>
            <w:pPr>
              <w:pStyle w:val="10"/>
              <w:numPr>
                <w:ilvl w:val="0"/>
                <w:numId w:val="39"/>
              </w:numPr>
              <w:tabs>
                <w:tab w:val="left" w:pos="19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安全附件与安全保护装置及仪表</w:t>
            </w:r>
          </w:p>
          <w:p>
            <w:pPr>
              <w:pStyle w:val="10"/>
              <w:tabs>
                <w:tab w:val="left" w:pos="317"/>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安全阀、仪器、仪表是否在校验、检定有效期内；</w:t>
            </w:r>
          </w:p>
          <w:p>
            <w:pPr>
              <w:pStyle w:val="10"/>
              <w:tabs>
                <w:tab w:val="left" w:pos="32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呼吸气体浓度、温度、湿度测量仪表工作是否正常；</w:t>
            </w:r>
          </w:p>
          <w:p>
            <w:pPr>
              <w:pStyle w:val="10"/>
              <w:tabs>
                <w:tab w:val="left" w:pos="32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呼吸气体浓度测定装置报警功能是否符合要求；</w:t>
            </w:r>
          </w:p>
          <w:p>
            <w:pPr>
              <w:pStyle w:val="10"/>
              <w:tabs>
                <w:tab w:val="left" w:pos="322"/>
              </w:tabs>
              <w:snapToGrid w:val="0"/>
              <w:spacing w:line="200" w:lineRule="exact"/>
              <w:rPr>
                <w:rFonts w:ascii="Times New Roman" w:hAnsi="Times New Roman" w:cs="Times New Roman"/>
                <w:color w:val="auto"/>
                <w:sz w:val="18"/>
                <w:szCs w:val="18"/>
              </w:rPr>
            </w:pPr>
            <w:r>
              <w:rPr>
                <w:rFonts w:ascii="Times New Roman" w:hAnsi="Times New Roman" w:eastAsia="Times New Roman" w:cs="Times New Roman"/>
                <w:color w:val="auto"/>
                <w:sz w:val="18"/>
                <w:szCs w:val="18"/>
              </w:rPr>
              <w:t>(4)</w:t>
            </w:r>
            <w:r>
              <w:rPr>
                <w:rFonts w:ascii="Times New Roman" w:hAnsi="Times New Roman" w:cs="Times New Roman"/>
                <w:color w:val="auto"/>
                <w:sz w:val="18"/>
                <w:szCs w:val="18"/>
              </w:rPr>
              <w:t>呼吸气体浓度传感器是否在有效期内；</w:t>
            </w:r>
          </w:p>
          <w:p>
            <w:pPr>
              <w:pStyle w:val="10"/>
              <w:tabs>
                <w:tab w:val="left" w:pos="322"/>
              </w:tabs>
              <w:snapToGrid w:val="0"/>
              <w:spacing w:line="20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5</w:t>
            </w:r>
            <w:r>
              <w:rPr>
                <w:rFonts w:ascii="Times New Roman" w:hAnsi="Times New Roman" w:cs="Times New Roman"/>
                <w:color w:val="auto"/>
                <w:sz w:val="18"/>
                <w:szCs w:val="18"/>
              </w:rPr>
              <w:t>)氧舱运行参数自动测定、显示、记录装置工作是否正常。</w:t>
            </w:r>
          </w:p>
          <w:p>
            <w:pPr>
              <w:pStyle w:val="10"/>
              <w:numPr>
                <w:ilvl w:val="0"/>
                <w:numId w:val="39"/>
              </w:numPr>
              <w:tabs>
                <w:tab w:val="left" w:pos="202"/>
              </w:tabs>
              <w:snapToGrid w:val="0"/>
              <w:spacing w:line="200" w:lineRule="exact"/>
              <w:rPr>
                <w:rFonts w:ascii="Times New Roman" w:hAnsi="Times New Roman" w:cs="Times New Roman"/>
                <w:color w:val="auto"/>
                <w:sz w:val="18"/>
                <w:szCs w:val="18"/>
              </w:rPr>
            </w:pPr>
            <w:r>
              <w:rPr>
                <w:rFonts w:ascii="Times New Roman" w:hAnsi="Times New Roman" w:cs="Times New Roman"/>
                <w:color w:val="auto"/>
                <w:sz w:val="18"/>
                <w:szCs w:val="18"/>
              </w:rPr>
              <w:t>配套压力容器</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按照《固定式压力容器安全技术监察规程》中有关年度检查的规定执行。</w:t>
            </w:r>
          </w:p>
          <w:p>
            <w:pPr>
              <w:pStyle w:val="10"/>
              <w:numPr>
                <w:ilvl w:val="0"/>
                <w:numId w:val="39"/>
              </w:numPr>
              <w:tabs>
                <w:tab w:val="left" w:pos="197"/>
              </w:tabs>
              <w:snapToGrid w:val="0"/>
              <w:spacing w:line="20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rPr>
              <w:t>修理、更换情况</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检查本年度经过修理的部位、更换的零部件的工作是否正常。</w:t>
            </w:r>
          </w:p>
          <w:p>
            <w:pPr>
              <w:pStyle w:val="10"/>
              <w:numPr>
                <w:ilvl w:val="0"/>
                <w:numId w:val="39"/>
              </w:numPr>
              <w:tabs>
                <w:tab w:val="left" w:pos="197"/>
              </w:tabs>
              <w:snapToGrid w:val="0"/>
              <w:spacing w:line="200" w:lineRule="exact"/>
              <w:rPr>
                <w:rFonts w:ascii="Times New Roman" w:hAnsi="Times New Roman" w:cs="Times New Roman"/>
                <w:color w:val="auto"/>
                <w:sz w:val="18"/>
                <w:szCs w:val="18"/>
                <w:lang w:eastAsia="zh-CN"/>
              </w:rPr>
            </w:pPr>
            <w:r>
              <w:rPr>
                <w:rFonts w:ascii="Times New Roman" w:hAnsi="Times New Roman" w:cs="Times New Roman"/>
                <w:color w:val="auto"/>
                <w:sz w:val="18"/>
                <w:szCs w:val="18"/>
              </w:rPr>
              <w:t>安全警示标志</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安全警示标志及其说明情况是否完整清晰。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422" w:hRule="exact"/>
        </w:trPr>
        <w:tc>
          <w:tcPr>
            <w:tcW w:w="861" w:type="dxa"/>
            <w:shd w:val="clear" w:color="auto" w:fill="FFFFFF"/>
            <w:noWrap/>
            <w:vAlign w:val="center"/>
          </w:tcPr>
          <w:p>
            <w:pPr>
              <w:pStyle w:val="10"/>
              <w:snapToGrid w:val="0"/>
              <w:spacing w:line="20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定期检验</w:t>
            </w:r>
          </w:p>
        </w:tc>
        <w:tc>
          <w:tcPr>
            <w:tcW w:w="430" w:type="dxa"/>
            <w:shd w:val="clear" w:color="auto" w:fill="FFFFFF"/>
            <w:noWrap/>
            <w:vAlign w:val="center"/>
          </w:tcPr>
          <w:p>
            <w:pPr>
              <w:pStyle w:val="10"/>
              <w:snapToGrid w:val="0"/>
              <w:spacing w:line="20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检验机构</w:t>
            </w:r>
          </w:p>
        </w:tc>
        <w:tc>
          <w:tcPr>
            <w:tcW w:w="567" w:type="dxa"/>
            <w:shd w:val="clear" w:color="auto" w:fill="FFFFFF"/>
            <w:noWrap/>
            <w:vAlign w:val="center"/>
          </w:tcPr>
          <w:p>
            <w:pPr>
              <w:pStyle w:val="10"/>
              <w:snapToGrid w:val="0"/>
              <w:spacing w:line="200" w:lineRule="exact"/>
              <w:jc w:val="center"/>
              <w:rPr>
                <w:rFonts w:ascii="Times New Roman" w:hAnsi="Times New Roman" w:cs="Times New Roman"/>
                <w:color w:val="auto"/>
                <w:sz w:val="18"/>
                <w:szCs w:val="18"/>
              </w:rPr>
            </w:pPr>
            <w:r>
              <w:rPr>
                <w:rFonts w:ascii="Times New Roman" w:hAnsi="Times New Roman" w:cs="Times New Roman"/>
                <w:color w:val="auto"/>
                <w:sz w:val="18"/>
                <w:szCs w:val="18"/>
              </w:rPr>
              <w:t>有资质的检验人员</w:t>
            </w:r>
          </w:p>
        </w:tc>
        <w:tc>
          <w:tcPr>
            <w:tcW w:w="851" w:type="dxa"/>
            <w:shd w:val="clear" w:color="auto" w:fill="FFFFFF"/>
            <w:noWrap/>
            <w:vAlign w:val="center"/>
          </w:tcPr>
          <w:p>
            <w:pPr>
              <w:pStyle w:val="10"/>
              <w:snapToGrid w:val="0"/>
              <w:spacing w:line="20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检验人员确定</w:t>
            </w:r>
          </w:p>
        </w:tc>
        <w:tc>
          <w:tcPr>
            <w:tcW w:w="850" w:type="dxa"/>
            <w:vMerge w:val="continue"/>
            <w:shd w:val="clear" w:color="auto" w:fill="FFFFFF"/>
            <w:noWrap/>
            <w:vAlign w:val="center"/>
          </w:tcPr>
          <w:p>
            <w:pPr>
              <w:snapToGrid w:val="0"/>
              <w:spacing w:line="200" w:lineRule="exact"/>
              <w:jc w:val="center"/>
              <w:rPr>
                <w:rFonts w:ascii="Times New Roman" w:hAnsi="Times New Roman" w:cs="Times New Roman"/>
                <w:color w:val="auto"/>
                <w:sz w:val="18"/>
                <w:szCs w:val="18"/>
              </w:rPr>
            </w:pPr>
          </w:p>
        </w:tc>
        <w:tc>
          <w:tcPr>
            <w:tcW w:w="992" w:type="dxa"/>
            <w:shd w:val="clear" w:color="auto" w:fill="FFFFFF"/>
            <w:noWrap/>
            <w:vAlign w:val="center"/>
          </w:tcPr>
          <w:p>
            <w:pPr>
              <w:pStyle w:val="10"/>
              <w:snapToGrid w:val="0"/>
              <w:spacing w:line="200" w:lineRule="exact"/>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8.1</w:t>
            </w:r>
          </w:p>
        </w:tc>
        <w:tc>
          <w:tcPr>
            <w:tcW w:w="10120" w:type="dxa"/>
            <w:shd w:val="clear" w:color="auto" w:fill="FFFFFF"/>
            <w:noWrap/>
            <w:vAlign w:val="center"/>
          </w:tcPr>
          <w:p>
            <w:pPr>
              <w:pStyle w:val="10"/>
              <w:tabs>
                <w:tab w:val="left" w:pos="19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使用单位在氧舱定期检验有效期届满的</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个月以前，向检验机构申报定期检验。</w:t>
            </w:r>
          </w:p>
        </w:tc>
      </w:tr>
    </w:tbl>
    <w:p>
      <w:pPr>
        <w:snapToGrid w:val="0"/>
        <w:spacing w:line="20" w:lineRule="exact"/>
        <w:rPr>
          <w:rFonts w:ascii="Times New Roman" w:hAnsi="Times New Roman" w:eastAsia="宋体" w:cs="Times New Roman"/>
          <w:color w:val="auto"/>
          <w:sz w:val="18"/>
          <w:szCs w:val="18"/>
        </w:rPr>
      </w:pPr>
    </w:p>
    <w:p>
      <w:pPr>
        <w:pStyle w:val="9"/>
        <w:snapToGrid w:val="0"/>
        <w:spacing w:line="240" w:lineRule="auto"/>
        <w:rPr>
          <w:rFonts w:ascii="Times New Roman" w:hAnsi="Times New Roman" w:cs="Times New Roman"/>
          <w:color w:val="auto"/>
          <w:sz w:val="18"/>
          <w:szCs w:val="18"/>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auto"/>
          <w:kern w:val="2"/>
          <w:sz w:val="32"/>
          <w:szCs w:val="32"/>
          <w:lang w:val="zh-TW" w:eastAsia="zh-TW" w:bidi="zh-TW"/>
        </w:rPr>
      </w:pPr>
      <w:r>
        <w:rPr>
          <w:rFonts w:hint="eastAsia" w:ascii="方正小标宋简体" w:hAnsi="方正小标宋简体" w:eastAsia="方正小标宋简体" w:cs="方正小标宋简体"/>
          <w:b w:val="0"/>
          <w:bCs/>
          <w:color w:val="auto"/>
          <w:kern w:val="2"/>
          <w:sz w:val="32"/>
          <w:szCs w:val="32"/>
          <w:lang w:val="zh-TW" w:eastAsia="zh-TW" w:bidi="zh-TW"/>
        </w:rPr>
        <w:t>表B.6  特种设备隐患排查清单——气瓶充装专项要求</w:t>
      </w:r>
    </w:p>
    <w:tbl>
      <w:tblPr>
        <w:tblStyle w:val="8"/>
        <w:tblW w:w="14671"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61"/>
        <w:gridCol w:w="956"/>
        <w:gridCol w:w="956"/>
        <w:gridCol w:w="887"/>
        <w:gridCol w:w="1559"/>
        <w:gridCol w:w="913"/>
        <w:gridCol w:w="85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39" w:hRule="atLeast"/>
        </w:trPr>
        <w:tc>
          <w:tcPr>
            <w:tcW w:w="861"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排查内容(途径)</w:t>
            </w:r>
          </w:p>
        </w:tc>
        <w:tc>
          <w:tcPr>
            <w:tcW w:w="956"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实施单位</w:t>
            </w:r>
          </w:p>
        </w:tc>
        <w:tc>
          <w:tcPr>
            <w:tcW w:w="956"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排查人</w:t>
            </w:r>
          </w:p>
        </w:tc>
        <w:tc>
          <w:tcPr>
            <w:tcW w:w="887"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排查时间</w:t>
            </w:r>
          </w:p>
        </w:tc>
        <w:tc>
          <w:tcPr>
            <w:tcW w:w="2472"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val="en-US" w:eastAsia="zh-CN" w:bidi="en-US"/>
              </w:rPr>
            </w:pPr>
            <w:r>
              <w:rPr>
                <w:rFonts w:ascii="Times New Roman" w:hAnsi="Times New Roman" w:eastAsia="黑体" w:cs="Times New Roman"/>
                <w:b/>
                <w:color w:val="auto"/>
                <w:sz w:val="18"/>
                <w:szCs w:val="18"/>
                <w:lang w:val="en-US" w:eastAsia="zh-CN" w:bidi="en-US"/>
              </w:rPr>
              <w:t>排查依据</w:t>
            </w:r>
          </w:p>
        </w:tc>
        <w:tc>
          <w:tcPr>
            <w:tcW w:w="8539"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92" w:hRule="exact"/>
        </w:trPr>
        <w:tc>
          <w:tcPr>
            <w:tcW w:w="86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1559"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法规标准</w:t>
            </w:r>
          </w:p>
        </w:tc>
        <w:tc>
          <w:tcPr>
            <w:tcW w:w="913"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适用条款</w:t>
            </w:r>
          </w:p>
        </w:tc>
        <w:tc>
          <w:tcPr>
            <w:tcW w:w="8539"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90" w:hRule="atLeast"/>
        </w:trPr>
        <w:tc>
          <w:tcPr>
            <w:tcW w:w="861"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充装前检查、充装过程控制、充装后检查</w:t>
            </w:r>
          </w:p>
        </w:tc>
        <w:tc>
          <w:tcPr>
            <w:tcW w:w="956"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充装</w:t>
            </w:r>
            <w:r>
              <w:rPr>
                <w:rFonts w:ascii="Times New Roman" w:hAnsi="Times New Roman" w:cs="Times New Roman"/>
                <w:color w:val="auto"/>
                <w:sz w:val="18"/>
                <w:szCs w:val="18"/>
              </w:rPr>
              <w:t>单位</w:t>
            </w:r>
          </w:p>
        </w:tc>
        <w:tc>
          <w:tcPr>
            <w:tcW w:w="956"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作业人员</w:t>
            </w:r>
          </w:p>
        </w:tc>
        <w:tc>
          <w:tcPr>
            <w:tcW w:w="887"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充装前后</w:t>
            </w:r>
          </w:p>
        </w:tc>
        <w:tc>
          <w:tcPr>
            <w:tcW w:w="1559"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气瓶安全技术规程</w:t>
            </w:r>
          </w:p>
          <w:p>
            <w:pPr>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(TSG </w:t>
            </w:r>
            <w:r>
              <w:rPr>
                <w:rFonts w:ascii="Times New Roman" w:hAnsi="Times New Roman" w:eastAsia="宋体" w:cs="Times New Roman"/>
                <w:color w:val="auto"/>
                <w:sz w:val="18"/>
                <w:szCs w:val="18"/>
              </w:rPr>
              <w:t>23</w:t>
            </w:r>
            <w:r>
              <w:rPr>
                <w:rFonts w:ascii="Times New Roman" w:hAnsi="Times New Roman" w:cs="Times New Roman"/>
                <w:color w:val="auto"/>
                <w:sz w:val="18"/>
                <w:szCs w:val="18"/>
              </w:rPr>
              <w:t>-20</w:t>
            </w:r>
            <w:r>
              <w:rPr>
                <w:rFonts w:ascii="Times New Roman" w:hAnsi="Times New Roman" w:eastAsia="宋体" w:cs="Times New Roman"/>
                <w:color w:val="auto"/>
                <w:sz w:val="18"/>
                <w:szCs w:val="18"/>
              </w:rPr>
              <w:t>21</w:t>
            </w:r>
            <w:r>
              <w:rPr>
                <w:rFonts w:ascii="Times New Roman" w:hAnsi="Times New Roman" w:cs="Times New Roman"/>
                <w:color w:val="auto"/>
                <w:sz w:val="18"/>
                <w:szCs w:val="18"/>
              </w:rPr>
              <w:t>)</w:t>
            </w:r>
          </w:p>
        </w:tc>
        <w:tc>
          <w:tcPr>
            <w:tcW w:w="91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8.6.3.1</w:t>
            </w:r>
          </w:p>
        </w:tc>
        <w:tc>
          <w:tcPr>
            <w:tcW w:w="8539" w:type="dxa"/>
            <w:shd w:val="clear" w:color="auto" w:fill="FFFFFF"/>
            <w:noWrap/>
            <w:vAlign w:val="center"/>
          </w:tcPr>
          <w:p>
            <w:pPr>
              <w:pStyle w:val="10"/>
              <w:keepNext w:val="0"/>
              <w:keepLines w:val="0"/>
              <w:pageBreakBefore w:val="0"/>
              <w:widowControl w:val="0"/>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rPr>
              <w:t>气瓶充装</w:t>
            </w:r>
            <w:r>
              <w:rPr>
                <w:rFonts w:ascii="Times New Roman" w:hAnsi="Times New Roman" w:cs="Times New Roman"/>
                <w:color w:val="auto"/>
                <w:sz w:val="18"/>
                <w:szCs w:val="18"/>
                <w:lang w:eastAsia="zh-CN"/>
              </w:rPr>
              <w:t>检查与记录基本要求：</w:t>
            </w:r>
          </w:p>
          <w:p>
            <w:pPr>
              <w:pStyle w:val="10"/>
              <w:keepNext w:val="0"/>
              <w:keepLines w:val="0"/>
              <w:pageBreakBefore w:val="0"/>
              <w:widowControl w:val="0"/>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(1)充装前(后)，应当逐只对气瓶进行检查，并且填写检查记录；</w:t>
            </w:r>
          </w:p>
          <w:p>
            <w:pPr>
              <w:pStyle w:val="10"/>
              <w:keepNext w:val="0"/>
              <w:keepLines w:val="0"/>
              <w:pageBreakBefore w:val="0"/>
              <w:widowControl w:val="0"/>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(2)气瓶充装过程中，应当逐只进行检查，并且填写充装记录；</w:t>
            </w:r>
          </w:p>
          <w:p>
            <w:pPr>
              <w:pStyle w:val="10"/>
              <w:keepNext w:val="0"/>
              <w:keepLines w:val="0"/>
              <w:pageBreakBefore w:val="0"/>
              <w:widowControl w:val="0"/>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(3)检查记录和充装记录可以采用电子记录方式，并且应当由作业人员签字确认。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768" w:hRule="atLeast"/>
        </w:trPr>
        <w:tc>
          <w:tcPr>
            <w:tcW w:w="86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8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1559"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1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8.6.3.2</w:t>
            </w:r>
          </w:p>
        </w:tc>
        <w:tc>
          <w:tcPr>
            <w:tcW w:w="8539" w:type="dxa"/>
            <w:shd w:val="clear" w:color="auto" w:fill="FFFFFF"/>
            <w:noWrap/>
            <w:vAlign w:val="center"/>
          </w:tcPr>
          <w:p>
            <w:pPr>
              <w:pStyle w:val="10"/>
              <w:keepNext w:val="0"/>
              <w:keepLines w:val="0"/>
              <w:pageBreakBefore w:val="0"/>
              <w:widowControl w:val="0"/>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检查发现以下情况的气瓶，应当先进行处理，否则严禁充装：</w:t>
            </w:r>
          </w:p>
          <w:p>
            <w:pPr>
              <w:pStyle w:val="10"/>
              <w:keepNext w:val="0"/>
              <w:keepLines w:val="0"/>
              <w:pageBreakBefore w:val="0"/>
              <w:widowControl w:val="0"/>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 出厂标志、颜色标记不符合规定，瓶内介质未确认；</w:t>
            </w:r>
          </w:p>
          <w:p>
            <w:pPr>
              <w:pStyle w:val="10"/>
              <w:keepNext w:val="0"/>
              <w:keepLines w:val="0"/>
              <w:pageBreakBefore w:val="0"/>
              <w:widowControl w:val="0"/>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 气瓶附件损坏、不全或者不符合规定；</w:t>
            </w:r>
          </w:p>
          <w:p>
            <w:pPr>
              <w:pStyle w:val="10"/>
              <w:keepNext w:val="0"/>
              <w:keepLines w:val="0"/>
              <w:pageBreakBefore w:val="0"/>
              <w:widowControl w:val="0"/>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(3)气瓶内无剩余压力；</w:t>
            </w:r>
          </w:p>
          <w:p>
            <w:pPr>
              <w:pStyle w:val="10"/>
              <w:keepNext w:val="0"/>
              <w:keepLines w:val="0"/>
              <w:pageBreakBefore w:val="0"/>
              <w:widowControl w:val="0"/>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(4)超过检验期限；</w:t>
            </w:r>
          </w:p>
          <w:p>
            <w:pPr>
              <w:pStyle w:val="10"/>
              <w:keepNext w:val="0"/>
              <w:keepLines w:val="0"/>
              <w:pageBreakBefore w:val="0"/>
              <w:widowControl w:val="0"/>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(5)外观存在明显损伤，需检查确认能否使用；</w:t>
            </w:r>
          </w:p>
          <w:p>
            <w:pPr>
              <w:pStyle w:val="10"/>
              <w:keepNext w:val="0"/>
              <w:keepLines w:val="0"/>
              <w:pageBreakBefore w:val="0"/>
              <w:widowControl w:val="0"/>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(6)充装氧化或者强氧化气体气瓶沾有油脂；</w:t>
            </w:r>
          </w:p>
          <w:p>
            <w:pPr>
              <w:pStyle w:val="10"/>
              <w:keepNext w:val="0"/>
              <w:keepLines w:val="0"/>
              <w:pageBreakBefore w:val="0"/>
              <w:widowControl w:val="0"/>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(7)充装可燃气体的新气瓶首次充装或者定期检验后的首次充装，未经过置换或者抽真空处理。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722" w:hRule="exact"/>
        </w:trPr>
        <w:tc>
          <w:tcPr>
            <w:tcW w:w="86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8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559" w:type="dxa"/>
            <w:shd w:val="clear" w:color="auto" w:fill="FFFFFF"/>
            <w:noWrap/>
            <w:vAlign w:val="center"/>
          </w:tcPr>
          <w:p>
            <w:pPr>
              <w:snapToGrid w:val="0"/>
              <w:jc w:val="center"/>
              <w:rPr>
                <w:rFonts w:ascii="Times New Roman" w:hAnsi="Times New Roman" w:eastAsia="宋体" w:cs="Times New Roman"/>
                <w:color w:val="auto"/>
                <w:sz w:val="18"/>
                <w:szCs w:val="18"/>
                <w:lang w:val="zh-TW" w:eastAsia="zh-TW" w:bidi="zh-TW"/>
              </w:rPr>
            </w:pPr>
            <w:r>
              <w:rPr>
                <w:rFonts w:ascii="Times New Roman" w:hAnsi="Times New Roman" w:eastAsia="宋体" w:cs="Times New Roman"/>
                <w:color w:val="auto"/>
                <w:sz w:val="18"/>
                <w:szCs w:val="18"/>
                <w:lang w:val="zh-TW" w:eastAsia="zh-TW" w:bidi="zh-TW"/>
              </w:rPr>
              <w:t>特种设备生产和充装单位许可规则 (TSG 07-2019)</w:t>
            </w:r>
          </w:p>
        </w:tc>
        <w:tc>
          <w:tcPr>
            <w:tcW w:w="91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D2.8</w:t>
            </w:r>
          </w:p>
        </w:tc>
        <w:tc>
          <w:tcPr>
            <w:tcW w:w="8539"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车用气瓶的充装单位应当采用信息化手段对气瓶充装进行控制和记录</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鼓励其他气瓶充装单位采用信息化手段对气瓶及其充装、使用进行安全管理。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124" w:hRule="exact"/>
        </w:trPr>
        <w:tc>
          <w:tcPr>
            <w:tcW w:w="86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定期检验</w:t>
            </w:r>
          </w:p>
        </w:tc>
        <w:tc>
          <w:tcPr>
            <w:tcW w:w="956"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有资质的检验机构</w:t>
            </w:r>
            <w:r>
              <w:rPr>
                <w:rFonts w:ascii="Times New Roman" w:hAnsi="Times New Roman" w:cs="Times New Roman"/>
                <w:color w:val="auto"/>
                <w:sz w:val="18"/>
                <w:szCs w:val="18"/>
                <w:lang w:eastAsia="zh-CN"/>
              </w:rPr>
              <w:t>或充装单位</w:t>
            </w:r>
          </w:p>
        </w:tc>
        <w:tc>
          <w:tcPr>
            <w:tcW w:w="956"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持证检验人员</w:t>
            </w:r>
          </w:p>
        </w:tc>
        <w:tc>
          <w:tcPr>
            <w:tcW w:w="88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按气瓶类型</w:t>
            </w:r>
          </w:p>
        </w:tc>
        <w:tc>
          <w:tcPr>
            <w:tcW w:w="15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气瓶安全技术规程</w:t>
            </w:r>
          </w:p>
          <w:p>
            <w:pPr>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(TSG </w:t>
            </w:r>
            <w:r>
              <w:rPr>
                <w:rFonts w:ascii="Times New Roman" w:hAnsi="Times New Roman" w:eastAsia="宋体" w:cs="Times New Roman"/>
                <w:color w:val="auto"/>
                <w:sz w:val="18"/>
                <w:szCs w:val="18"/>
              </w:rPr>
              <w:t>23</w:t>
            </w:r>
            <w:r>
              <w:rPr>
                <w:rFonts w:ascii="Times New Roman" w:hAnsi="Times New Roman" w:cs="Times New Roman"/>
                <w:color w:val="auto"/>
                <w:sz w:val="18"/>
                <w:szCs w:val="18"/>
              </w:rPr>
              <w:t>-20</w:t>
            </w:r>
            <w:r>
              <w:rPr>
                <w:rFonts w:ascii="Times New Roman" w:hAnsi="Times New Roman" w:eastAsia="宋体" w:cs="Times New Roman"/>
                <w:color w:val="auto"/>
                <w:sz w:val="18"/>
                <w:szCs w:val="18"/>
              </w:rPr>
              <w:t>21</w:t>
            </w:r>
            <w:r>
              <w:rPr>
                <w:rFonts w:ascii="Times New Roman" w:hAnsi="Times New Roman" w:cs="Times New Roman"/>
                <w:color w:val="auto"/>
                <w:sz w:val="18"/>
                <w:szCs w:val="18"/>
              </w:rPr>
              <w:t>)</w:t>
            </w:r>
          </w:p>
        </w:tc>
        <w:tc>
          <w:tcPr>
            <w:tcW w:w="91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8.5.5</w:t>
            </w:r>
          </w:p>
        </w:tc>
        <w:tc>
          <w:tcPr>
            <w:tcW w:w="8539"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使用单位应当在气瓶检验有效期届满前一个月，向气瓶定期检验机构提出定期检验申请，并且送检气瓶。</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气瓶充装单位(车用气瓶充装单位除外)申请自行检验已办理使用登记的自有产权气瓶的，可在充装许可申请时一并提出申请，经评审机构按照特种设备有关检验机构核准的规定进行评审，符合要求的，在充装许可证上备注“(含定期检验)”。</w:t>
            </w:r>
          </w:p>
        </w:tc>
      </w:tr>
    </w:tbl>
    <w:p>
      <w:pPr>
        <w:snapToGrid w:val="0"/>
        <w:rPr>
          <w:rFonts w:ascii="Times New Roman" w:hAnsi="Times New Roman" w:eastAsia="宋体" w:cs="Times New Roman"/>
          <w:color w:val="auto"/>
          <w:sz w:val="18"/>
          <w:szCs w:val="18"/>
        </w:rPr>
      </w:pPr>
    </w:p>
    <w:p>
      <w:pPr>
        <w:snapToGrid w:val="0"/>
        <w:rPr>
          <w:rFonts w:ascii="Times New Roman" w:hAnsi="Times New Roman" w:eastAsia="宋体" w:cs="Times New Roman"/>
          <w:color w:val="auto"/>
          <w:sz w:val="18"/>
          <w:szCs w:val="18"/>
        </w:rPr>
        <w:sectPr>
          <w:pgSz w:w="16840" w:h="11900" w:orient="landscape"/>
          <w:pgMar w:top="1134" w:right="1134" w:bottom="1134" w:left="1134" w:header="851" w:footer="851" w:gutter="0"/>
          <w:pgNumType w:fmt="numberInDash"/>
          <w:cols w:space="720" w:num="1"/>
          <w:docGrid w:linePitch="360" w:charSpace="0"/>
        </w:sect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auto"/>
          <w:kern w:val="2"/>
          <w:sz w:val="32"/>
          <w:szCs w:val="32"/>
          <w:lang w:val="zh-TW" w:eastAsia="zh-TW" w:bidi="zh-TW"/>
        </w:rPr>
      </w:pPr>
      <w:r>
        <w:rPr>
          <w:rFonts w:hint="eastAsia" w:ascii="方正小标宋简体" w:hAnsi="方正小标宋简体" w:eastAsia="方正小标宋简体" w:cs="方正小标宋简体"/>
          <w:b w:val="0"/>
          <w:bCs/>
          <w:color w:val="auto"/>
          <w:kern w:val="2"/>
          <w:sz w:val="32"/>
          <w:szCs w:val="32"/>
          <w:lang w:val="zh-TW" w:eastAsia="zh-TW" w:bidi="zh-TW"/>
        </w:rPr>
        <w:t>表B.7  特种设备隐患排查清单——工业管道专项要求</w:t>
      </w:r>
    </w:p>
    <w:p>
      <w:pPr>
        <w:snapToGrid w:val="0"/>
        <w:rPr>
          <w:rFonts w:ascii="Times New Roman" w:hAnsi="Times New Roman" w:eastAsia="宋体" w:cs="Times New Roman"/>
          <w:color w:val="auto"/>
          <w:sz w:val="18"/>
          <w:szCs w:val="18"/>
        </w:rPr>
      </w:pPr>
    </w:p>
    <w:tbl>
      <w:tblPr>
        <w:tblStyle w:val="8"/>
        <w:tblW w:w="14611" w:type="dxa"/>
        <w:tblInd w:w="-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857"/>
        <w:gridCol w:w="718"/>
        <w:gridCol w:w="850"/>
        <w:gridCol w:w="992"/>
        <w:gridCol w:w="993"/>
        <w:gridCol w:w="102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39" w:hRule="atLeast"/>
          <w:tblHeader/>
        </w:trPr>
        <w:tc>
          <w:tcPr>
            <w:tcW w:w="857"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排查内容</w:t>
            </w:r>
          </w:p>
        </w:tc>
        <w:tc>
          <w:tcPr>
            <w:tcW w:w="718"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排查人</w:t>
            </w:r>
          </w:p>
        </w:tc>
        <w:tc>
          <w:tcPr>
            <w:tcW w:w="850"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排查时间</w:t>
            </w:r>
          </w:p>
        </w:tc>
        <w:tc>
          <w:tcPr>
            <w:tcW w:w="1985"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val="en-US" w:eastAsia="zh-CN" w:bidi="en-US"/>
              </w:rPr>
            </w:pPr>
            <w:r>
              <w:rPr>
                <w:rFonts w:ascii="Times New Roman" w:hAnsi="Times New Roman" w:eastAsia="黑体" w:cs="Times New Roman"/>
                <w:b/>
                <w:color w:val="auto"/>
                <w:sz w:val="18"/>
                <w:szCs w:val="18"/>
                <w:lang w:val="en-US" w:eastAsia="zh-CN" w:bidi="en-US"/>
              </w:rPr>
              <w:t>排查依据</w:t>
            </w:r>
          </w:p>
        </w:tc>
        <w:tc>
          <w:tcPr>
            <w:tcW w:w="10201"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92" w:hRule="exact"/>
          <w:tblHeader/>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18" w:type="dxa"/>
            <w:vMerge w:val="continue"/>
            <w:shd w:val="clear" w:color="auto" w:fill="FFFFFF"/>
            <w:noWrap/>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2"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法规标准</w:t>
            </w:r>
          </w:p>
        </w:tc>
        <w:tc>
          <w:tcPr>
            <w:tcW w:w="993"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适用条款</w:t>
            </w:r>
          </w:p>
        </w:tc>
        <w:tc>
          <w:tcPr>
            <w:tcW w:w="10201"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135" w:hRule="exact"/>
        </w:trPr>
        <w:tc>
          <w:tcPr>
            <w:tcW w:w="85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管道改造和重大修理</w:t>
            </w:r>
          </w:p>
        </w:tc>
        <w:tc>
          <w:tcPr>
            <w:tcW w:w="71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安全管理人员</w:t>
            </w:r>
          </w:p>
        </w:tc>
        <w:tc>
          <w:tcPr>
            <w:tcW w:w="8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每年一次</w:t>
            </w: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《压力管道监督检验规则》</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(TSG D7006-2020)</w:t>
            </w: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压力管道改造，是指改变管道规格、材质、结构布置或者改变管道介质、压力、温度等工作参数，致使管道性能参数或者管道结构发生变化的活动。</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压力管道重大修理，是指对管道采用焊接方法更换管段以及阀门、管子矫形、受压部件焊补、带压密封和带压封堵等。</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《特种设备目录》规定范围内的公用管道的</w:t>
            </w:r>
            <w:r>
              <w:rPr>
                <w:rFonts w:ascii="Times New Roman" w:hAnsi="Times New Roman" w:cs="Times New Roman"/>
                <w:color w:val="auto"/>
                <w:sz w:val="18"/>
                <w:szCs w:val="18"/>
              </w:rPr>
              <w:t>改造或者重大修理(应急抢修的管道施工过程除外)，一次性更换相同介质的管道总长度大于100 米的过程</w:t>
            </w:r>
            <w:r>
              <w:rPr>
                <w:rFonts w:ascii="Times New Roman" w:hAnsi="Times New Roman" w:cs="Times New Roman"/>
                <w:color w:val="auto"/>
                <w:sz w:val="18"/>
                <w:szCs w:val="18"/>
                <w:lang w:eastAsia="zh-CN"/>
              </w:rPr>
              <w:t>需要进行施工监检。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544" w:hRule="exact"/>
        </w:trPr>
        <w:tc>
          <w:tcPr>
            <w:tcW w:w="85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经常性维护保养</w:t>
            </w:r>
          </w:p>
        </w:tc>
        <w:tc>
          <w:tcPr>
            <w:tcW w:w="71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使用单位自定</w:t>
            </w:r>
          </w:p>
        </w:tc>
        <w:tc>
          <w:tcPr>
            <w:tcW w:w="8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使用单位自定</w:t>
            </w: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压力管道安全技术监察规程——工业管道</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(TSG D0001</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rPr>
              <w:t>2009)</w:t>
            </w: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第一百一十二条</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使用单位应当对压力管道进行经常性维护保养，并且做出记录。存入管道技术档案。发现情况异常，应当及时处理。</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建议对下列内容检查、保养：</w:t>
            </w:r>
          </w:p>
          <w:p>
            <w:pPr>
              <w:pStyle w:val="10"/>
              <w:numPr>
                <w:ilvl w:val="0"/>
                <w:numId w:val="40"/>
              </w:numPr>
              <w:tabs>
                <w:tab w:val="left" w:pos="19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压力管道本体、保温层、防腐层；</w:t>
            </w:r>
          </w:p>
          <w:p>
            <w:pPr>
              <w:pStyle w:val="10"/>
              <w:numPr>
                <w:ilvl w:val="0"/>
                <w:numId w:val="40"/>
              </w:numPr>
              <w:tabs>
                <w:tab w:val="left" w:pos="21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阀门操作机构；</w:t>
            </w:r>
          </w:p>
          <w:p>
            <w:pPr>
              <w:pStyle w:val="10"/>
              <w:numPr>
                <w:ilvl w:val="0"/>
                <w:numId w:val="40"/>
              </w:numPr>
              <w:tabs>
                <w:tab w:val="left" w:pos="19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安全附件、安全保护装置、测量调控装置、附属仪器仪表；</w:t>
            </w:r>
          </w:p>
          <w:p>
            <w:pPr>
              <w:pStyle w:val="10"/>
              <w:numPr>
                <w:ilvl w:val="0"/>
                <w:numId w:val="41"/>
              </w:numPr>
              <w:tabs>
                <w:tab w:val="left" w:pos="20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紧固件；</w:t>
            </w:r>
          </w:p>
          <w:p>
            <w:pPr>
              <w:pStyle w:val="10"/>
              <w:numPr>
                <w:ilvl w:val="0"/>
                <w:numId w:val="41"/>
              </w:numPr>
              <w:tabs>
                <w:tab w:val="left" w:pos="20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管道的振动情况；</w:t>
            </w:r>
          </w:p>
          <w:p>
            <w:pPr>
              <w:pStyle w:val="10"/>
              <w:numPr>
                <w:ilvl w:val="0"/>
                <w:numId w:val="41"/>
              </w:numPr>
              <w:tabs>
                <w:tab w:val="left" w:pos="19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静电跨接和接地；</w:t>
            </w:r>
          </w:p>
          <w:p>
            <w:pPr>
              <w:pStyle w:val="10"/>
              <w:numPr>
                <w:ilvl w:val="0"/>
                <w:numId w:val="41"/>
              </w:numPr>
              <w:tabs>
                <w:tab w:val="left" w:pos="19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停用管道的防护、保养；</w:t>
            </w:r>
          </w:p>
          <w:p>
            <w:pPr>
              <w:pStyle w:val="10"/>
              <w:numPr>
                <w:ilvl w:val="0"/>
                <w:numId w:val="41"/>
              </w:numPr>
              <w:tabs>
                <w:tab w:val="left" w:pos="20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支吊架检查、保养；</w:t>
            </w:r>
          </w:p>
          <w:p>
            <w:pPr>
              <w:pStyle w:val="10"/>
              <w:numPr>
                <w:ilvl w:val="0"/>
                <w:numId w:val="41"/>
              </w:numPr>
              <w:tabs>
                <w:tab w:val="left" w:pos="19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跑、冒、滴、漏维护；</w:t>
            </w:r>
          </w:p>
          <w:p>
            <w:pPr>
              <w:pStyle w:val="10"/>
              <w:numPr>
                <w:ilvl w:val="0"/>
                <w:numId w:val="41"/>
              </w:numPr>
              <w:tabs>
                <w:tab w:val="left" w:pos="293"/>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高、低温管道的热、冷紧；</w:t>
            </w:r>
          </w:p>
          <w:p>
            <w:pPr>
              <w:pStyle w:val="10"/>
              <w:numPr>
                <w:ilvl w:val="0"/>
                <w:numId w:val="41"/>
              </w:numPr>
              <w:tabs>
                <w:tab w:val="left" w:pos="283"/>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禁止将管道及支架作接地零线、撬抬重物的支点等；</w:t>
            </w:r>
          </w:p>
          <w:p>
            <w:pPr>
              <w:pStyle w:val="10"/>
              <w:numPr>
                <w:ilvl w:val="0"/>
                <w:numId w:val="41"/>
              </w:numPr>
              <w:tabs>
                <w:tab w:val="left" w:pos="283"/>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其他需要维护保养的。</w:t>
            </w:r>
          </w:p>
          <w:p>
            <w:pPr>
              <w:pStyle w:val="10"/>
              <w:tabs>
                <w:tab w:val="left" w:pos="283"/>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对发现的异常情况及时处理并且记录，保证在用压力管道始终处于正常使用状态。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86" w:hRule="exact"/>
        </w:trPr>
        <w:tc>
          <w:tcPr>
            <w:tcW w:w="857"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年度</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检查</w:t>
            </w:r>
          </w:p>
        </w:tc>
        <w:tc>
          <w:tcPr>
            <w:tcW w:w="718"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压力管道</w:t>
            </w:r>
            <w:r>
              <w:rPr>
                <w:rFonts w:ascii="Times New Roman" w:hAnsi="Times New Roman" w:cs="Times New Roman"/>
                <w:color w:val="auto"/>
                <w:sz w:val="18"/>
                <w:szCs w:val="18"/>
              </w:rPr>
              <w:t>作业人员或有资格的检验人员</w:t>
            </w:r>
          </w:p>
        </w:tc>
        <w:tc>
          <w:tcPr>
            <w:tcW w:w="850"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每年一次</w:t>
            </w:r>
          </w:p>
        </w:tc>
        <w:tc>
          <w:tcPr>
            <w:tcW w:w="992" w:type="dxa"/>
            <w:vMerge w:val="restart"/>
            <w:shd w:val="clear" w:color="auto" w:fill="FFFFFF"/>
            <w:noWrap/>
            <w:vAlign w:val="center"/>
          </w:tcPr>
          <w:p>
            <w:pPr>
              <w:snapToGrid w:val="0"/>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压力管道定期检验规则</w:t>
            </w:r>
            <w:r>
              <w:rPr>
                <w:rFonts w:ascii="Times New Roman" w:hAnsi="Times New Roman" w:cs="Times New Roman"/>
                <w:color w:val="auto"/>
                <w:sz w:val="18"/>
                <w:szCs w:val="18"/>
              </w:rPr>
              <w:t>—</w:t>
            </w:r>
            <w:r>
              <w:rPr>
                <w:rFonts w:ascii="Times New Roman" w:hAnsi="Times New Roman" w:eastAsia="宋体" w:cs="Times New Roman"/>
                <w:color w:val="auto"/>
                <w:sz w:val="18"/>
                <w:szCs w:val="18"/>
              </w:rPr>
              <w:t>工业管道</w:t>
            </w:r>
            <w:r>
              <w:rPr>
                <w:rFonts w:ascii="Times New Roman" w:hAnsi="Times New Roman" w:cs="Times New Roman"/>
                <w:color w:val="auto"/>
                <w:sz w:val="18"/>
                <w:szCs w:val="18"/>
              </w:rPr>
              <w:t xml:space="preserve"> (TSG D</w:t>
            </w:r>
            <w:r>
              <w:rPr>
                <w:rFonts w:ascii="Times New Roman" w:hAnsi="Times New Roman" w:eastAsia="宋体" w:cs="Times New Roman"/>
                <w:color w:val="auto"/>
                <w:sz w:val="18"/>
                <w:szCs w:val="18"/>
              </w:rPr>
              <w:t>7005-2018</w:t>
            </w:r>
            <w:r>
              <w:rPr>
                <w:rFonts w:ascii="Times New Roman" w:hAnsi="Times New Roman" w:cs="Times New Roman"/>
                <w:color w:val="auto"/>
                <w:sz w:val="18"/>
                <w:szCs w:val="18"/>
              </w:rPr>
              <w:t>)</w:t>
            </w: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A2</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制定年度检查管理制度，年度检查工作可以由使用单位安全管理人员组织经过专业培训的人员进行，也可以委托具有工业管道定期检验资质的检验机构进行。自行实施年度检查时，应当配备必要的检验器具、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26"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ign w:val="top"/>
          </w:tcPr>
          <w:p>
            <w:pPr>
              <w:pStyle w:val="10"/>
              <w:snapToGrid w:val="0"/>
              <w:spacing w:line="240" w:lineRule="auto"/>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年度检查应当至少包括管道安全管理情况、管道运行状况和安全保护与仪表的检查，必要时应当进行壁厚测定和电阻值测量的检查。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113" w:hRule="exact"/>
        </w:trPr>
        <w:tc>
          <w:tcPr>
            <w:tcW w:w="857"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年度</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检查</w:t>
            </w:r>
          </w:p>
        </w:tc>
        <w:tc>
          <w:tcPr>
            <w:tcW w:w="718"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压力管道</w:t>
            </w:r>
            <w:r>
              <w:rPr>
                <w:rFonts w:ascii="Times New Roman" w:hAnsi="Times New Roman" w:cs="Times New Roman"/>
                <w:color w:val="auto"/>
                <w:sz w:val="18"/>
                <w:szCs w:val="18"/>
              </w:rPr>
              <w:t>作业人员或有资格的检验人员</w:t>
            </w:r>
          </w:p>
        </w:tc>
        <w:tc>
          <w:tcPr>
            <w:tcW w:w="850"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每年一次</w:t>
            </w:r>
          </w:p>
        </w:tc>
        <w:tc>
          <w:tcPr>
            <w:tcW w:w="992" w:type="dxa"/>
            <w:vMerge w:val="restart"/>
            <w:shd w:val="clear" w:color="auto" w:fill="FFFFFF"/>
            <w:noWrap/>
            <w:vAlign w:val="center"/>
          </w:tcPr>
          <w:p>
            <w:pPr>
              <w:snapToGrid w:val="0"/>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压力管道定期检验规则</w:t>
            </w:r>
            <w:r>
              <w:rPr>
                <w:rFonts w:ascii="Times New Roman" w:hAnsi="Times New Roman" w:cs="Times New Roman"/>
                <w:color w:val="auto"/>
                <w:sz w:val="18"/>
                <w:szCs w:val="18"/>
              </w:rPr>
              <w:t>—</w:t>
            </w:r>
            <w:r>
              <w:rPr>
                <w:rFonts w:ascii="Times New Roman" w:hAnsi="Times New Roman" w:eastAsia="宋体" w:cs="Times New Roman"/>
                <w:color w:val="auto"/>
                <w:sz w:val="18"/>
                <w:szCs w:val="18"/>
              </w:rPr>
              <w:t>工业管道</w:t>
            </w:r>
            <w:r>
              <w:rPr>
                <w:rFonts w:ascii="Times New Roman" w:hAnsi="Times New Roman" w:cs="Times New Roman"/>
                <w:color w:val="auto"/>
                <w:sz w:val="18"/>
                <w:szCs w:val="18"/>
              </w:rPr>
              <w:t xml:space="preserve"> (TSG D</w:t>
            </w:r>
            <w:r>
              <w:rPr>
                <w:rFonts w:ascii="Times New Roman" w:hAnsi="Times New Roman" w:eastAsia="宋体" w:cs="Times New Roman"/>
                <w:color w:val="auto"/>
                <w:sz w:val="18"/>
                <w:szCs w:val="18"/>
              </w:rPr>
              <w:t>7005-2018</w:t>
            </w:r>
            <w:r>
              <w:rPr>
                <w:rFonts w:ascii="Times New Roman" w:hAnsi="Times New Roman" w:cs="Times New Roman"/>
                <w:color w:val="auto"/>
                <w:sz w:val="18"/>
                <w:szCs w:val="18"/>
              </w:rPr>
              <w:t>)</w:t>
            </w: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A3.1</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管道安全管理情况检查内容：</w:t>
            </w:r>
          </w:p>
          <w:p>
            <w:pPr>
              <w:pStyle w:val="10"/>
              <w:numPr>
                <w:ilvl w:val="0"/>
                <w:numId w:val="4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安全管理制度和安全操作规程是否齐全有效；</w:t>
            </w:r>
          </w:p>
          <w:p>
            <w:pPr>
              <w:pStyle w:val="10"/>
              <w:numPr>
                <w:ilvl w:val="0"/>
                <w:numId w:val="42"/>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相关安全技术规范规定的设计文件、安装竣工图、质量证明文件、监督检验证书及安装、改造、修理资料等是否完整；</w:t>
            </w:r>
          </w:p>
          <w:p>
            <w:pPr>
              <w:pStyle w:val="10"/>
              <w:numPr>
                <w:ilvl w:val="0"/>
                <w:numId w:val="4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安全管理人员是否持证上岗；</w:t>
            </w:r>
          </w:p>
          <w:p>
            <w:pPr>
              <w:pStyle w:val="10"/>
              <w:numPr>
                <w:ilvl w:val="0"/>
                <w:numId w:val="42"/>
              </w:numPr>
              <w:tabs>
                <w:tab w:val="left" w:pos="35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日常维护、运行记录、定期安全检查记录是否符合要求；</w:t>
            </w:r>
          </w:p>
          <w:p>
            <w:pPr>
              <w:pStyle w:val="10"/>
              <w:numPr>
                <w:ilvl w:val="0"/>
                <w:numId w:val="4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年度检查、定期检验报告是否齐全，检查、检验报告中所提出的问题是否得到解决；</w:t>
            </w:r>
          </w:p>
          <w:p>
            <w:pPr>
              <w:pStyle w:val="10"/>
              <w:numPr>
                <w:ilvl w:val="0"/>
                <w:numId w:val="4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安全附件与仪表校验(检定)、修理和更换记录是否齐全；</w:t>
            </w:r>
          </w:p>
          <w:p>
            <w:pPr>
              <w:pStyle w:val="10"/>
              <w:numPr>
                <w:ilvl w:val="0"/>
                <w:numId w:val="4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是否已按照相关要求制定专项应急预案，并且有演练记录；</w:t>
            </w:r>
          </w:p>
          <w:p>
            <w:pPr>
              <w:pStyle w:val="10"/>
              <w:numPr>
                <w:ilvl w:val="0"/>
                <w:numId w:val="42"/>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是否对事故、故障以及处理情况进行了记录。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116"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A3.2.2</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检查时，应重点考虑以下部位：</w:t>
            </w:r>
          </w:p>
          <w:p>
            <w:pPr>
              <w:pStyle w:val="10"/>
              <w:numPr>
                <w:ilvl w:val="0"/>
                <w:numId w:val="43"/>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压缩机、泵的出口部位；</w:t>
            </w:r>
          </w:p>
          <w:p>
            <w:pPr>
              <w:pStyle w:val="10"/>
              <w:numPr>
                <w:ilvl w:val="0"/>
                <w:numId w:val="43"/>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补偿器、三通、弯头(弯管)、大小头、支管连接、阀门连接以及介质流动的死角等部位；</w:t>
            </w:r>
          </w:p>
          <w:p>
            <w:pPr>
              <w:pStyle w:val="10"/>
              <w:numPr>
                <w:ilvl w:val="0"/>
                <w:numId w:val="43"/>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支吊架损坏部位附近的管道组成件以及焊接接头；</w:t>
            </w:r>
          </w:p>
          <w:p>
            <w:pPr>
              <w:pStyle w:val="10"/>
              <w:numPr>
                <w:ilvl w:val="0"/>
                <w:numId w:val="43"/>
              </w:numPr>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曾经出现过影响管道安全运行问题的部位；</w:t>
            </w:r>
          </w:p>
          <w:p>
            <w:pPr>
              <w:pStyle w:val="10"/>
              <w:numPr>
                <w:ilvl w:val="0"/>
                <w:numId w:val="43"/>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处于生产流程要害部位的管段以及与重要装置或设备相连接的管段；</w:t>
            </w:r>
          </w:p>
          <w:p>
            <w:pPr>
              <w:pStyle w:val="10"/>
              <w:numPr>
                <w:ilvl w:val="0"/>
                <w:numId w:val="43"/>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工作条件苛刻以及承受交变载荷的管段；</w:t>
            </w:r>
          </w:p>
          <w:p>
            <w:pPr>
              <w:pStyle w:val="10"/>
              <w:numPr>
                <w:ilvl w:val="0"/>
                <w:numId w:val="43"/>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基于风险的检验分析报告中给出的高风险管段；</w:t>
            </w:r>
          </w:p>
          <w:p>
            <w:pPr>
              <w:pStyle w:val="10"/>
              <w:numPr>
                <w:ilvl w:val="0"/>
                <w:numId w:val="43"/>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上次定期检验提出重点监控的管段。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191"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ign w:val="top"/>
          </w:tcPr>
          <w:p>
            <w:pPr>
              <w:pStyle w:val="10"/>
              <w:snapToGrid w:val="0"/>
              <w:spacing w:line="240" w:lineRule="auto"/>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A3.2.1</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管道运行状况检查内容：</w:t>
            </w:r>
          </w:p>
          <w:p>
            <w:pPr>
              <w:pStyle w:val="10"/>
              <w:numPr>
                <w:ilvl w:val="0"/>
                <w:numId w:val="44"/>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检查管道漆色、标志等是否符合相关规定；</w:t>
            </w:r>
          </w:p>
          <w:p>
            <w:pPr>
              <w:pStyle w:val="10"/>
              <w:numPr>
                <w:ilvl w:val="0"/>
                <w:numId w:val="44"/>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检查管道组成件以及其焊接接头等有无裂纹、过热、变形、泄漏、损伤等情况；</w:t>
            </w:r>
          </w:p>
          <w:p>
            <w:pPr>
              <w:pStyle w:val="10"/>
              <w:numPr>
                <w:ilvl w:val="0"/>
                <w:numId w:val="44"/>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外表面有无腐蚀，有无异常结霜、结露等情况；</w:t>
            </w:r>
          </w:p>
          <w:p>
            <w:pPr>
              <w:pStyle w:val="10"/>
              <w:numPr>
                <w:ilvl w:val="0"/>
                <w:numId w:val="44"/>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管道有无异常振动，管道与相邻构件之间有无相互碰撞、摩擦情况；</w:t>
            </w:r>
          </w:p>
          <w:p>
            <w:pPr>
              <w:pStyle w:val="10"/>
              <w:numPr>
                <w:ilvl w:val="0"/>
                <w:numId w:val="44"/>
              </w:numPr>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管道隔热层有无破损、脱落、跑冷等以及防腐层破损等情况;必要时可以采用红外热成像检测、热流密度检测等技术手段进行监测和节能评价；</w:t>
            </w:r>
          </w:p>
          <w:p>
            <w:pPr>
              <w:pStyle w:val="10"/>
              <w:numPr>
                <w:ilvl w:val="0"/>
                <w:numId w:val="44"/>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支吊架有无脱落、变形、腐蚀、损坏、主要受力焊接接头有无开裂，支架与管道接触处是否积水，恒力弹簧支吊架转体位移指示是否符合要求，变力弹簧支吊架有无异常变形、偏斜、失载，刚性支吊架状态，转导向支架间隙，阻尼器、减振器位移，液压阻尼器液位是否符合要求等情况；</w:t>
            </w:r>
          </w:p>
          <w:p>
            <w:pPr>
              <w:pStyle w:val="10"/>
              <w:numPr>
                <w:ilvl w:val="0"/>
                <w:numId w:val="44"/>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检查阀门有无表面腐蚀，阀体表面裂纹、严重缩孔、连接螺栓是否松动等情况；</w:t>
            </w:r>
          </w:p>
          <w:p>
            <w:pPr>
              <w:pStyle w:val="10"/>
              <w:numPr>
                <w:ilvl w:val="0"/>
                <w:numId w:val="44"/>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检查放空阀表面有无腐蚀，阀体表面裂纹、严重缩孔、连接螺栓是否松动等情况；</w:t>
            </w:r>
          </w:p>
          <w:p>
            <w:pPr>
              <w:pStyle w:val="10"/>
              <w:numPr>
                <w:ilvl w:val="0"/>
                <w:numId w:val="44"/>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检查法兰是否偏口以及异常翘曲、变形、泄漏和紧固件是否齐全、无松动、无腐蚀等情况；</w:t>
            </w:r>
          </w:p>
          <w:p>
            <w:pPr>
              <w:pStyle w:val="10"/>
              <w:numPr>
                <w:ilvl w:val="0"/>
                <w:numId w:val="44"/>
              </w:numPr>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波纹管膨胀节表面有无划痕、凹痕、腐蚀穿孔、开裂以及波纹管波间距是否符合要求，有无失稳现象，饺链型膨胀节的饺链、销轴有无变形、脱落、损坏现象,拉杆式膨胀节的拉杆、螺栓、连接支座是否符合要求等情况；</w:t>
            </w:r>
          </w:p>
          <w:p>
            <w:pPr>
              <w:pStyle w:val="10"/>
              <w:numPr>
                <w:ilvl w:val="0"/>
                <w:numId w:val="44"/>
              </w:numPr>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对有阴极保护装置的管道，检查其保护装置是否完好；</w:t>
            </w:r>
          </w:p>
          <w:p>
            <w:pPr>
              <w:pStyle w:val="10"/>
              <w:numPr>
                <w:ilvl w:val="0"/>
                <w:numId w:val="44"/>
              </w:numPr>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对有膨胀测量要求的管道，检查管道蠕胀测点或者蠕胀测量带是否完好；</w:t>
            </w:r>
          </w:p>
          <w:p>
            <w:pPr>
              <w:pStyle w:val="10"/>
              <w:numPr>
                <w:ilvl w:val="0"/>
                <w:numId w:val="44"/>
              </w:numPr>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检查人员认为有必要的其他检查。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43" w:hRule="exact"/>
        </w:trPr>
        <w:tc>
          <w:tcPr>
            <w:tcW w:w="857"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年度</w:t>
            </w:r>
          </w:p>
          <w:p>
            <w:pPr>
              <w:pStyle w:val="1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检查</w:t>
            </w:r>
          </w:p>
        </w:tc>
        <w:tc>
          <w:tcPr>
            <w:tcW w:w="718" w:type="dxa"/>
            <w:vMerge w:val="restart"/>
            <w:shd w:val="clear" w:color="auto" w:fill="FFFFFF"/>
            <w:noWrap/>
            <w:vAlign w:val="center"/>
          </w:tcPr>
          <w:p>
            <w:pPr>
              <w:pStyle w:val="1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压力管道</w:t>
            </w:r>
            <w:r>
              <w:rPr>
                <w:rFonts w:ascii="Times New Roman" w:hAnsi="Times New Roman" w:cs="Times New Roman"/>
                <w:color w:val="auto"/>
                <w:sz w:val="18"/>
                <w:szCs w:val="18"/>
              </w:rPr>
              <w:t>作业人员或有资格的检验人员</w:t>
            </w:r>
          </w:p>
        </w:tc>
        <w:tc>
          <w:tcPr>
            <w:tcW w:w="850" w:type="dxa"/>
            <w:vMerge w:val="restart"/>
            <w:shd w:val="clear" w:color="auto" w:fill="FFFFFF"/>
            <w:noWrap/>
            <w:vAlign w:val="center"/>
          </w:tcPr>
          <w:p>
            <w:pPr>
              <w:pStyle w:val="10"/>
              <w:snapToGrid w:val="0"/>
              <w:jc w:val="center"/>
              <w:rPr>
                <w:rFonts w:ascii="Times New Roman" w:hAnsi="Times New Roman" w:eastAsia="PMingLiU" w:cs="Times New Roman"/>
                <w:color w:val="auto"/>
                <w:sz w:val="18"/>
                <w:szCs w:val="18"/>
              </w:rPr>
            </w:pPr>
            <w:r>
              <w:rPr>
                <w:rFonts w:ascii="Times New Roman" w:hAnsi="Times New Roman" w:cs="Times New Roman"/>
                <w:color w:val="auto"/>
                <w:sz w:val="18"/>
                <w:szCs w:val="18"/>
              </w:rPr>
              <w:t>每年一次</w:t>
            </w:r>
          </w:p>
        </w:tc>
        <w:tc>
          <w:tcPr>
            <w:tcW w:w="992" w:type="dxa"/>
            <w:vMerge w:val="restart"/>
            <w:shd w:val="clear" w:color="auto" w:fill="FFFFFF"/>
            <w:noWrap/>
            <w:vAlign w:val="center"/>
          </w:tcPr>
          <w:p>
            <w:pPr>
              <w:pStyle w:val="1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压力管道定期检验规则—工业管道</w:t>
            </w:r>
            <w:r>
              <w:rPr>
                <w:rFonts w:ascii="Times New Roman" w:hAnsi="Times New Roman" w:eastAsia="Times New Roman" w:cs="Times New Roman"/>
                <w:color w:val="auto"/>
                <w:sz w:val="18"/>
                <w:szCs w:val="18"/>
                <w:lang w:val="en-US" w:eastAsia="zh-CN" w:bidi="en-US"/>
              </w:rPr>
              <w:t>(TSG D</w:t>
            </w:r>
            <w:r>
              <w:rPr>
                <w:rFonts w:ascii="Times New Roman" w:hAnsi="Times New Roman" w:cs="Times New Roman"/>
                <w:color w:val="auto"/>
                <w:sz w:val="18"/>
                <w:szCs w:val="18"/>
                <w:lang w:eastAsia="zh-CN"/>
              </w:rPr>
              <w:t>7005-2018</w:t>
            </w:r>
            <w:r>
              <w:rPr>
                <w:rFonts w:ascii="Times New Roman" w:hAnsi="Times New Roman" w:eastAsia="Times New Roman" w:cs="Times New Roman"/>
                <w:color w:val="auto"/>
                <w:sz w:val="18"/>
                <w:szCs w:val="18"/>
                <w:lang w:eastAsia="zh-CN"/>
              </w:rPr>
              <w:t>)</w:t>
            </w: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en-US" w:bidi="en-US"/>
              </w:rPr>
              <w:t>A3.</w:t>
            </w:r>
            <w:r>
              <w:rPr>
                <w:rFonts w:ascii="Times New Roman" w:hAnsi="Times New Roman" w:cs="Times New Roman"/>
                <w:color w:val="auto"/>
                <w:sz w:val="18"/>
                <w:szCs w:val="18"/>
                <w:lang w:val="en-US" w:eastAsia="zh-CN" w:bidi="en-US"/>
              </w:rPr>
              <w:t>3</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需要重点管理的管道或者有明显腐蚀的弯头、三通、异径管以及相邻直管段等部位，应当采取定点或者抽查的方式进行壁厚测定。壁厚测定的布点和测定频次应当依据腐蚀部位测量结果确定。</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定点测厚的测点位置应当在单线图上标明，并且在年度检查报告中给出壁厚测厚结果。发现壁厚异常时，应当适当增加测厚点，必要时对所测管道的所有管段和管件进行壁厚测定。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73"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w:t>
            </w:r>
            <w:r>
              <w:rPr>
                <w:rFonts w:ascii="Times New Roman" w:hAnsi="Times New Roman" w:eastAsia="Times New Roman" w:cs="Times New Roman"/>
                <w:color w:val="auto"/>
                <w:sz w:val="18"/>
                <w:szCs w:val="18"/>
              </w:rPr>
              <w:t>4</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应当对输送易燃、易爆介质的管道，以抽查方式进行防静电接地电阻值和法兰间接触电阻值测定。防静电接地电阻值应当不大于</w:t>
            </w:r>
            <w:r>
              <w:rPr>
                <w:rFonts w:ascii="Times New Roman" w:hAnsi="Times New Roman" w:eastAsia="Times New Roman" w:cs="Times New Roman"/>
                <w:color w:val="auto"/>
                <w:sz w:val="18"/>
                <w:szCs w:val="18"/>
              </w:rPr>
              <w:t>100</w:t>
            </w:r>
            <w:r>
              <w:rPr>
                <w:rFonts w:ascii="Times New Roman" w:hAnsi="Times New Roman" w:cs="Times New Roman"/>
                <w:color w:val="auto"/>
                <w:sz w:val="18"/>
                <w:szCs w:val="18"/>
                <w:lang w:eastAsia="zh-CN"/>
              </w:rPr>
              <w:t>Ω</w:t>
            </w:r>
            <w:r>
              <w:rPr>
                <w:rFonts w:ascii="Times New Roman" w:hAnsi="Times New Roman" w:cs="Times New Roman"/>
                <w:color w:val="auto"/>
                <w:sz w:val="18"/>
                <w:szCs w:val="18"/>
              </w:rPr>
              <w:t>，法兰间接触电阻值应当小于</w:t>
            </w:r>
            <w:r>
              <w:rPr>
                <w:rFonts w:ascii="Times New Roman" w:hAnsi="Times New Roman" w:eastAsia="Times New Roman" w:cs="Times New Roman"/>
                <w:color w:val="auto"/>
                <w:sz w:val="18"/>
                <w:szCs w:val="18"/>
                <w:lang w:val="en-US" w:eastAsia="zh-CN" w:bidi="en-US"/>
              </w:rPr>
              <w:t>0.03</w:t>
            </w:r>
            <w:r>
              <w:rPr>
                <w:rFonts w:ascii="Times New Roman" w:hAnsi="Times New Roman" w:cs="Times New Roman"/>
                <w:color w:val="auto"/>
                <w:sz w:val="18"/>
                <w:szCs w:val="18"/>
                <w:lang w:eastAsia="zh-CN"/>
              </w:rPr>
              <w:t>Ω</w:t>
            </w:r>
            <w:r>
              <w:rPr>
                <w:rFonts w:ascii="Times New Roman" w:hAnsi="Times New Roman"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200"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ign w:val="top"/>
          </w:tcPr>
          <w:p>
            <w:pPr>
              <w:pStyle w:val="10"/>
              <w:snapToGrid w:val="0"/>
              <w:spacing w:line="240" w:lineRule="auto"/>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A3.5.1</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安全附件与仪表应当符合安全技术规范及相应现行国家标准的要求。存在下列情况之一的安全附件和仪表，不得投入使用：</w:t>
            </w:r>
          </w:p>
          <w:p>
            <w:pPr>
              <w:pStyle w:val="10"/>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无产品合格证和铭牌的；</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性能不符合要求的；</w:t>
            </w:r>
          </w:p>
          <w:p>
            <w:pPr>
              <w:pStyle w:val="10"/>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逾期不检查、不校验、不检定的；</w:t>
            </w:r>
          </w:p>
          <w:p>
            <w:pPr>
              <w:pStyle w:val="10"/>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w:t>
            </w:r>
            <w:r>
              <w:rPr>
                <w:rFonts w:ascii="Times New Roman" w:hAnsi="Times New Roman" w:eastAsia="Times New Roman" w:cs="Times New Roman"/>
                <w:color w:val="auto"/>
                <w:sz w:val="18"/>
                <w:szCs w:val="18"/>
              </w:rPr>
              <w:t>4</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无产品监督检验证书的(相关安全技术规范要求的)。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121"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ign w:val="top"/>
          </w:tcPr>
          <w:p>
            <w:pPr>
              <w:pStyle w:val="10"/>
              <w:snapToGrid w:val="0"/>
              <w:spacing w:line="240" w:lineRule="auto"/>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A3.5.2</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安全阀检查内容：</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安全阀选型是否符合设计要求；</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安全阀是否在检定有效期内，整定压力是否符合管道的运行要求；</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弹簧式安全阀调整螺钉的铅封装置是否完好；</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hAnsi="Times New Roman" w:cs="Times New Roman"/>
                <w:color w:val="auto"/>
                <w:sz w:val="18"/>
                <w:szCs w:val="18"/>
              </w:rPr>
              <w:t>如果安全阀和排放口之间设置了截断阀，截断阀是否处于全开位置以及铅封是否完好；</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(5)</w:t>
            </w:r>
            <w:r>
              <w:rPr>
                <w:rFonts w:ascii="Times New Roman" w:hAnsi="Times New Roman" w:cs="Times New Roman"/>
                <w:color w:val="auto"/>
                <w:sz w:val="18"/>
                <w:szCs w:val="18"/>
              </w:rPr>
              <w:t>安全阀是否泄漏；</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6)</w:t>
            </w:r>
            <w:r>
              <w:rPr>
                <w:rFonts w:ascii="Times New Roman" w:hAnsi="Times New Roman" w:cs="Times New Roman"/>
                <w:color w:val="auto"/>
                <w:sz w:val="18"/>
                <w:szCs w:val="18"/>
              </w:rPr>
              <w:t>放空管是否通畅，防雨帽是否完好。</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检查时，如果发现选型错误、超过检定有效期或者有泄漏现象的，使用单位应当采取有效措施，确保管道的安全运行,否则应当暂停该管道运行。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894"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ign w:val="top"/>
          </w:tcPr>
          <w:p>
            <w:pPr>
              <w:pStyle w:val="10"/>
              <w:snapToGrid w:val="0"/>
              <w:spacing w:line="240" w:lineRule="auto"/>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A3.5.</w:t>
            </w:r>
            <w:r>
              <w:rPr>
                <w:rFonts w:ascii="Times New Roman" w:hAnsi="Times New Roman" w:eastAsia="Times New Roman" w:cs="Times New Roman"/>
                <w:color w:val="auto"/>
                <w:sz w:val="18"/>
                <w:szCs w:val="18"/>
              </w:rPr>
              <w:t>3</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爆破片装置检查内容：</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爆破片是否超过产品说明书规定的使用期限；</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爆破片安装方向是否正确，产品铭牌上的爆破压力和温度是否符合运行要求；</w:t>
            </w:r>
          </w:p>
          <w:p>
            <w:pPr>
              <w:pStyle w:val="10"/>
              <w:tabs>
                <w:tab w:val="left" w:pos="317"/>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爆破片装置有无渗漏；</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cs="Times New Roman"/>
                <w:color w:val="auto"/>
                <w:sz w:val="18"/>
                <w:szCs w:val="18"/>
                <w:lang w:eastAsia="zh-CN"/>
              </w:rPr>
              <w:t>4</w:t>
            </w:r>
            <w:r>
              <w:rPr>
                <w:rFonts w:ascii="Times New Roman" w:hAnsi="Times New Roman" w:eastAsia="Times New Roman" w:cs="Times New Roman"/>
                <w:color w:val="auto"/>
                <w:sz w:val="18"/>
                <w:szCs w:val="18"/>
              </w:rPr>
              <w:t>)</w:t>
            </w:r>
            <w:r>
              <w:rPr>
                <w:rFonts w:ascii="Times New Roman" w:hAnsi="Times New Roman" w:cs="Times New Roman"/>
                <w:color w:val="auto"/>
                <w:sz w:val="18"/>
                <w:szCs w:val="18"/>
              </w:rPr>
              <w:t>爆破片在使用过程中是否有未超压爆破或者超压未爆破情况的可能；</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(5)</w:t>
            </w:r>
            <w:r>
              <w:rPr>
                <w:rFonts w:ascii="Times New Roman" w:hAnsi="Times New Roman" w:cs="Times New Roman"/>
                <w:color w:val="auto"/>
                <w:sz w:val="18"/>
                <w:szCs w:val="18"/>
              </w:rPr>
              <w:t>与爆破片夹持器相连的放空管是否通畅，放空管内是否存水(或者冰)，防水帽、防雨片是否完好；</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(6)</w:t>
            </w:r>
            <w:r>
              <w:rPr>
                <w:rFonts w:ascii="Times New Roman" w:hAnsi="Times New Roman" w:cs="Times New Roman"/>
                <w:color w:val="auto"/>
                <w:sz w:val="18"/>
                <w:szCs w:val="18"/>
              </w:rPr>
              <w:t>爆破片装置和管道间设置截断阀的，截断阀是否处于全开状态，铅封是否完好；</w:t>
            </w:r>
          </w:p>
          <w:p>
            <w:pPr>
              <w:pStyle w:val="10"/>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7)</w:t>
            </w:r>
            <w:r>
              <w:rPr>
                <w:rFonts w:ascii="Times New Roman" w:hAnsi="Times New Roman" w:cs="Times New Roman"/>
                <w:color w:val="auto"/>
                <w:sz w:val="18"/>
                <w:szCs w:val="18"/>
              </w:rPr>
              <w:t>爆破片装置和安全阀串联使用时，如果爆破片装置设置在安全阀出口侧，检查与安全阀之间所装压力表和截断阀，以及二者之间的压力、疏水和排放能力是否达到要求；如果爆破片装置设置在安全阀进口侧，检查与安全阀之间所装压力表有无压力指示，截断阀打开后有无气体漏出。</w:t>
            </w:r>
          </w:p>
          <w:p>
            <w:pPr>
              <w:pStyle w:val="10"/>
              <w:tabs>
                <w:tab w:val="left" w:pos="317"/>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在检查中，如果发现爆破片装置存在超过规定使用期限、安装方向错误、爆破压力和温度不符合或者爆破片和安全阀串联使用时有异常情况,使用单位应当采取有效措施，确保管道的安全运行，否则必须暂停该管道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611" w:hRule="exact"/>
        </w:trPr>
        <w:tc>
          <w:tcPr>
            <w:tcW w:w="857"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年度</w:t>
            </w:r>
          </w:p>
          <w:p>
            <w:pPr>
              <w:pStyle w:val="10"/>
              <w:snapToGrid w:val="0"/>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检查</w:t>
            </w:r>
          </w:p>
        </w:tc>
        <w:tc>
          <w:tcPr>
            <w:tcW w:w="718" w:type="dxa"/>
            <w:vMerge w:val="restart"/>
            <w:shd w:val="clear" w:color="auto" w:fill="FFFFFF"/>
            <w:noWrap/>
            <w:vAlign w:val="center"/>
          </w:tcPr>
          <w:p>
            <w:pPr>
              <w:pStyle w:val="10"/>
              <w:snapToGrid w:val="0"/>
              <w:jc w:val="center"/>
              <w:rPr>
                <w:rFonts w:ascii="Times New Roman" w:hAnsi="Times New Roman" w:cs="Times New Roman"/>
                <w:color w:val="auto"/>
                <w:spacing w:val="-20"/>
                <w:sz w:val="18"/>
                <w:szCs w:val="18"/>
              </w:rPr>
            </w:pPr>
            <w:r>
              <w:rPr>
                <w:rFonts w:ascii="Times New Roman" w:hAnsi="Times New Roman" w:cs="Times New Roman"/>
                <w:color w:val="auto"/>
                <w:sz w:val="18"/>
                <w:szCs w:val="18"/>
                <w:lang w:eastAsia="zh-CN"/>
              </w:rPr>
              <w:t>压力管道</w:t>
            </w:r>
            <w:r>
              <w:rPr>
                <w:rFonts w:ascii="Times New Roman" w:hAnsi="Times New Roman" w:cs="Times New Roman"/>
                <w:color w:val="auto"/>
                <w:sz w:val="18"/>
                <w:szCs w:val="18"/>
              </w:rPr>
              <w:t>作业人员或有资格的检验人员</w:t>
            </w:r>
          </w:p>
        </w:tc>
        <w:tc>
          <w:tcPr>
            <w:tcW w:w="850" w:type="dxa"/>
            <w:vMerge w:val="restart"/>
            <w:shd w:val="clear" w:color="auto" w:fill="FFFFFF"/>
            <w:noWrap/>
            <w:vAlign w:val="center"/>
          </w:tcPr>
          <w:p>
            <w:pPr>
              <w:pStyle w:val="10"/>
              <w:snapToGrid w:val="0"/>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每年一次</w:t>
            </w:r>
          </w:p>
        </w:tc>
        <w:tc>
          <w:tcPr>
            <w:tcW w:w="992" w:type="dxa"/>
            <w:vMerge w:val="restart"/>
            <w:shd w:val="clear" w:color="auto" w:fill="FFFFFF"/>
            <w:noWrap/>
            <w:vAlign w:val="center"/>
          </w:tcPr>
          <w:p>
            <w:pPr>
              <w:pStyle w:val="1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压力管道定期检验规则—工业管道</w:t>
            </w:r>
            <w:r>
              <w:rPr>
                <w:rFonts w:ascii="Times New Roman" w:hAnsi="Times New Roman" w:eastAsia="Times New Roman" w:cs="Times New Roman"/>
                <w:color w:val="auto"/>
                <w:sz w:val="18"/>
                <w:szCs w:val="18"/>
                <w:lang w:val="en-US" w:eastAsia="zh-CN" w:bidi="en-US"/>
              </w:rPr>
              <w:t>(TSG D</w:t>
            </w:r>
            <w:r>
              <w:rPr>
                <w:rFonts w:ascii="Times New Roman" w:hAnsi="Times New Roman" w:cs="Times New Roman"/>
                <w:color w:val="auto"/>
                <w:sz w:val="18"/>
                <w:szCs w:val="18"/>
                <w:lang w:eastAsia="zh-CN"/>
              </w:rPr>
              <w:t>7005-2018</w:t>
            </w:r>
            <w:r>
              <w:rPr>
                <w:rFonts w:ascii="Times New Roman" w:hAnsi="Times New Roman" w:eastAsia="Times New Roman" w:cs="Times New Roman"/>
                <w:color w:val="auto"/>
                <w:sz w:val="18"/>
                <w:szCs w:val="18"/>
                <w:lang w:eastAsia="zh-CN"/>
              </w:rPr>
              <w:t>)</w:t>
            </w: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A3.5.4</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阻火器装置检查内容：</w:t>
            </w:r>
          </w:p>
          <w:p>
            <w:pPr>
              <w:pStyle w:val="10"/>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阻火器装置安装方向是否正确；</w:t>
            </w:r>
          </w:p>
          <w:p>
            <w:pPr>
              <w:pStyle w:val="10"/>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阻火器装置标定的公称工作压力、适用介质和温度是否符合运行要求；</w:t>
            </w:r>
          </w:p>
          <w:p>
            <w:pPr>
              <w:pStyle w:val="10"/>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阻火器装置是否有泄漏及其他异常情况。</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在检查中，发现阻火器装置存在安装方向错误、标定的参数不符合运行要求、本体泄漏、超过规定的检定或者检修期限、出现凝结、结晶或者结冰等，使用单位应当采取有效处理措施，确保管道的安全运行，否则必须暂停该管道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443" w:hRule="exact"/>
        </w:trPr>
        <w:tc>
          <w:tcPr>
            <w:tcW w:w="857"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718"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A3.5.</w:t>
            </w:r>
            <w:r>
              <w:rPr>
                <w:rFonts w:ascii="Times New Roman" w:hAnsi="Times New Roman" w:eastAsia="Times New Roman" w:cs="Times New Roman"/>
                <w:color w:val="auto"/>
                <w:sz w:val="18"/>
                <w:szCs w:val="18"/>
              </w:rPr>
              <w:t>5</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紧急切断阀检查内容：</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紧急切断阀铭牌是否符合要求；</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紧急切断阀是否泄漏及其他异常情况；</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紧急切断阀的过流保护装置动作是否达到要求；</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在检查中，发现紧急切断阀存在铭牌内容不符合要求或者阀体泄漏、紧急切断阀动作异常等情况，使用单位应当采取有效处理措施，确保管道的安全运行,否则必须暂停该管道运行。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129" w:hRule="exact"/>
        </w:trPr>
        <w:tc>
          <w:tcPr>
            <w:tcW w:w="857"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718" w:type="dxa"/>
            <w:vMerge w:val="continue"/>
            <w:shd w:val="clear" w:color="auto" w:fill="FFFFFF"/>
            <w:noWrap/>
            <w:vAlign w:val="top"/>
          </w:tcPr>
          <w:p>
            <w:pPr>
              <w:pStyle w:val="10"/>
              <w:snapToGrid w:val="0"/>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A3.5.</w:t>
            </w:r>
            <w:r>
              <w:rPr>
                <w:rFonts w:ascii="Times New Roman" w:hAnsi="Times New Roman" w:eastAsia="Times New Roman" w:cs="Times New Roman"/>
                <w:color w:val="auto"/>
                <w:sz w:val="18"/>
                <w:szCs w:val="18"/>
              </w:rPr>
              <w:t>6</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压力表检查内容：</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压力表选型是否符合要求；</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压力表定期检修维护制度，校验有效期及其封签是否符合要求；</w:t>
            </w:r>
          </w:p>
          <w:p>
            <w:pPr>
              <w:pStyle w:val="10"/>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压力表外观、精度等级、量程、表盘直径是否符合要求；</w:t>
            </w:r>
          </w:p>
          <w:p>
            <w:pPr>
              <w:pStyle w:val="10"/>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cs="Times New Roman"/>
                <w:color w:val="auto"/>
                <w:sz w:val="18"/>
                <w:szCs w:val="18"/>
                <w:lang w:eastAsia="zh-CN"/>
              </w:rPr>
              <w:t>4</w:t>
            </w:r>
            <w:r>
              <w:rPr>
                <w:rFonts w:ascii="Times New Roman" w:hAnsi="Times New Roman" w:eastAsia="Times New Roman" w:cs="Times New Roman"/>
                <w:color w:val="auto"/>
                <w:sz w:val="18"/>
                <w:szCs w:val="18"/>
              </w:rPr>
              <w:t>)</w:t>
            </w:r>
            <w:r>
              <w:rPr>
                <w:rFonts w:ascii="Times New Roman" w:hAnsi="Times New Roman" w:cs="Times New Roman"/>
                <w:color w:val="auto"/>
                <w:sz w:val="18"/>
                <w:szCs w:val="18"/>
              </w:rPr>
              <w:t>在压力表和压力容器之间设置三通旋塞或者针形阀的位置、开启标记及其锁紧装置是否符合要求；</w:t>
            </w:r>
          </w:p>
          <w:p>
            <w:pPr>
              <w:pStyle w:val="10"/>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cs="Times New Roman"/>
                <w:color w:val="auto"/>
                <w:sz w:val="18"/>
                <w:szCs w:val="18"/>
                <w:lang w:eastAsia="zh-CN"/>
              </w:rPr>
              <w:t>5</w:t>
            </w:r>
            <w:r>
              <w:rPr>
                <w:rFonts w:ascii="Times New Roman" w:hAnsi="Times New Roman" w:eastAsia="Times New Roman" w:cs="Times New Roman"/>
                <w:color w:val="auto"/>
                <w:sz w:val="18"/>
                <w:szCs w:val="18"/>
              </w:rPr>
              <w:t>)</w:t>
            </w:r>
            <w:r>
              <w:rPr>
                <w:rFonts w:ascii="Times New Roman" w:hAnsi="Times New Roman" w:cs="Times New Roman"/>
                <w:color w:val="auto"/>
                <w:sz w:val="18"/>
                <w:szCs w:val="18"/>
              </w:rPr>
              <w:t>同一系统上各压力表的读数是否合理。</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时，如果发现压力表选型错误、表盘封面玻璃破裂或者表盘刻度模糊不清、封签损坏或者超过校验有效期限、弹簧管泄漏、指针松动、扭曲、外壳腐蚀严重、通旋塞或者针形阀开启标记不清以及锁紧装置损坏的,使用单位应当采取有效措施，确保管道的安全运行，否则必须暂停该管道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408" w:hRule="exact"/>
        </w:trPr>
        <w:tc>
          <w:tcPr>
            <w:tcW w:w="857"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718" w:type="dxa"/>
            <w:vMerge w:val="continue"/>
            <w:shd w:val="clear" w:color="auto" w:fill="FFFFFF"/>
            <w:noWrap/>
            <w:vAlign w:val="top"/>
          </w:tcPr>
          <w:p>
            <w:pPr>
              <w:pStyle w:val="10"/>
              <w:snapToGrid w:val="0"/>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A3.5.</w:t>
            </w:r>
            <w:r>
              <w:rPr>
                <w:rFonts w:ascii="Times New Roman" w:hAnsi="Times New Roman" w:eastAsia="Times New Roman" w:cs="Times New Roman"/>
                <w:color w:val="auto"/>
                <w:sz w:val="18"/>
                <w:szCs w:val="18"/>
              </w:rPr>
              <w:t>7</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测温仪表检查内容：</w:t>
            </w:r>
          </w:p>
          <w:p>
            <w:pPr>
              <w:pStyle w:val="10"/>
              <w:numPr>
                <w:ilvl w:val="0"/>
                <w:numId w:val="45"/>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测温仪表定期校验和检修是否符合要求；</w:t>
            </w:r>
          </w:p>
          <w:p>
            <w:pPr>
              <w:pStyle w:val="10"/>
              <w:numPr>
                <w:ilvl w:val="0"/>
                <w:numId w:val="45"/>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测温仪表量程与其检测的温度范围是否匹配；</w:t>
            </w:r>
          </w:p>
          <w:p>
            <w:pPr>
              <w:pStyle w:val="10"/>
              <w:numPr>
                <w:ilvl w:val="0"/>
                <w:numId w:val="45"/>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测温仪表及其二次仪表的外观是否符合要求。</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在检查中，发现测温仪表超过规定的校验、检修期限，仪表及其保护装置破损或者仪表量程选择错误等情况，使用单位应当采取有效措施，确保管道的安全运行，否则必须暂停该管道运行。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186"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18"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A4</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年度检查工作中，检查人员应当进行记录，检查工作完成后，应当分析管道使用安全状况，出具检查报告，按照以下要求作出如下年度检查结论：</w:t>
            </w:r>
          </w:p>
          <w:p>
            <w:pPr>
              <w:pStyle w:val="10"/>
              <w:numPr>
                <w:ilvl w:val="0"/>
                <w:numId w:val="46"/>
              </w:numPr>
              <w:tabs>
                <w:tab w:val="left" w:pos="413"/>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符合要求，指未发现影响安全使用的缺陷或者只发现轻度的、不影响安全使用的缺陷，可以在允许的参数范围内继续使用；</w:t>
            </w:r>
          </w:p>
          <w:p>
            <w:pPr>
              <w:pStyle w:val="10"/>
              <w:numPr>
                <w:ilvl w:val="0"/>
                <w:numId w:val="46"/>
              </w:numPr>
              <w:tabs>
                <w:tab w:val="left" w:pos="41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基本符合要求，指发现一般缺陷，经过使用单位采取措施后能够保证管道安全运行，可以在监控条件下使用，并且在检查结论中，应当注明监控条件、监控运行需要解决的问题及其完成期限；</w:t>
            </w:r>
          </w:p>
          <w:p>
            <w:pPr>
              <w:pStyle w:val="10"/>
              <w:numPr>
                <w:ilvl w:val="0"/>
                <w:numId w:val="46"/>
              </w:numPr>
              <w:tabs>
                <w:tab w:val="left" w:pos="41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不符合要求，指发现严重缺陷，不能保证管道安全运行的情况，不允许继续使用，必须停止运行或者由检验机构进行进一步检验。</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年度检查由使用单位自行实施时，检查记录和年度检查报告应当由使用单位安全管理负责人或者授权的安全管理人员审查批准。</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使用单位应当将年度检查报告及其记录(相应单项报告)存档保存，保存期限至少到下一个全面检验周期。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195" w:hRule="exact"/>
        </w:trPr>
        <w:tc>
          <w:tcPr>
            <w:tcW w:w="85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定期检验</w:t>
            </w:r>
          </w:p>
        </w:tc>
        <w:tc>
          <w:tcPr>
            <w:tcW w:w="71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有资格的检验人员</w:t>
            </w:r>
          </w:p>
        </w:tc>
        <w:tc>
          <w:tcPr>
            <w:tcW w:w="8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按上次检验报告</w:t>
            </w:r>
          </w:p>
        </w:tc>
        <w:tc>
          <w:tcPr>
            <w:tcW w:w="992"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压力管道定期检验规则—工业管道</w:t>
            </w:r>
            <w:r>
              <w:rPr>
                <w:rFonts w:ascii="Times New Roman" w:hAnsi="Times New Roman" w:eastAsia="Times New Roman" w:cs="Times New Roman"/>
                <w:color w:val="auto"/>
                <w:sz w:val="18"/>
                <w:szCs w:val="18"/>
                <w:lang w:val="en-US" w:eastAsia="zh-CN" w:bidi="en-US"/>
              </w:rPr>
              <w:t>(TSG D</w:t>
            </w:r>
            <w:r>
              <w:rPr>
                <w:rFonts w:ascii="Times New Roman" w:hAnsi="Times New Roman" w:cs="Times New Roman"/>
                <w:color w:val="auto"/>
                <w:sz w:val="18"/>
                <w:szCs w:val="18"/>
                <w:lang w:eastAsia="zh-CN"/>
              </w:rPr>
              <w:t>7005-2018</w:t>
            </w:r>
            <w:r>
              <w:rPr>
                <w:rFonts w:ascii="Times New Roman" w:hAnsi="Times New Roman" w:eastAsia="Times New Roman" w:cs="Times New Roman"/>
                <w:color w:val="auto"/>
                <w:sz w:val="18"/>
                <w:szCs w:val="18"/>
                <w:lang w:eastAsia="zh-CN"/>
              </w:rPr>
              <w:t>)</w:t>
            </w: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第2章</w:t>
            </w:r>
          </w:p>
        </w:tc>
        <w:tc>
          <w:tcPr>
            <w:tcW w:w="10201"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具体要求按</w:t>
            </w:r>
            <w:r>
              <w:rPr>
                <w:rFonts w:ascii="Times New Roman" w:hAnsi="Times New Roman" w:eastAsia="Times New Roman" w:cs="Times New Roman"/>
                <w:color w:val="auto"/>
                <w:sz w:val="18"/>
                <w:szCs w:val="18"/>
                <w:lang w:val="en-US" w:eastAsia="zh-CN" w:bidi="en-US"/>
              </w:rPr>
              <w:t>TSG D7005</w:t>
            </w:r>
            <w:r>
              <w:rPr>
                <w:rFonts w:ascii="Times New Roman" w:hAnsi="Times New Roman" w:cs="Times New Roman"/>
                <w:color w:val="auto"/>
                <w:sz w:val="18"/>
                <w:szCs w:val="18"/>
              </w:rPr>
              <w:t>一</w:t>
            </w:r>
            <w:r>
              <w:rPr>
                <w:rFonts w:ascii="Times New Roman" w:hAnsi="Times New Roman" w:eastAsia="Times New Roman" w:cs="Times New Roman"/>
                <w:color w:val="auto"/>
                <w:sz w:val="18"/>
                <w:szCs w:val="18"/>
              </w:rPr>
              <w:t>2018</w:t>
            </w:r>
            <w:r>
              <w:rPr>
                <w:rFonts w:ascii="Times New Roman" w:hAnsi="Times New Roman" w:cs="Times New Roman"/>
                <w:color w:val="auto"/>
                <w:sz w:val="18"/>
                <w:szCs w:val="18"/>
              </w:rPr>
              <w:t>执行。</w:t>
            </w:r>
          </w:p>
        </w:tc>
      </w:tr>
    </w:tbl>
    <w:p>
      <w:pPr>
        <w:snapToGrid w:val="0"/>
        <w:jc w:val="center"/>
        <w:rPr>
          <w:rFonts w:ascii="Times New Roman" w:hAnsi="Times New Roman" w:eastAsia="宋体" w:cs="Times New Roman"/>
          <w:color w:val="auto"/>
          <w:sz w:val="18"/>
          <w:szCs w:val="18"/>
        </w:rPr>
        <w:sectPr>
          <w:headerReference r:id="rId17" w:type="default"/>
          <w:headerReference r:id="rId18" w:type="even"/>
          <w:pgSz w:w="16840" w:h="11900" w:orient="landscape"/>
          <w:pgMar w:top="1134" w:right="1134" w:bottom="1134" w:left="1134" w:header="851" w:footer="851" w:gutter="0"/>
          <w:pgNumType w:fmt="numberInDash"/>
          <w:cols w:space="720" w:num="1"/>
          <w:docGrid w:linePitch="360" w:charSpace="0"/>
        </w:sectPr>
      </w:pPr>
    </w:p>
    <w:p>
      <w:pPr>
        <w:pStyle w:val="10"/>
        <w:snapToGrid w:val="0"/>
        <w:spacing w:line="240" w:lineRule="auto"/>
        <w:jc w:val="center"/>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rPr>
        <w:t xml:space="preserve">附表1  </w:t>
      </w:r>
      <w:r>
        <w:rPr>
          <w:rFonts w:hint="eastAsia" w:ascii="仿宋_GB2312" w:hAnsi="仿宋_GB2312" w:eastAsia="仿宋_GB2312" w:cs="仿宋_GB2312"/>
          <w:b w:val="0"/>
          <w:bCs/>
          <w:color w:val="auto"/>
          <w:sz w:val="30"/>
          <w:szCs w:val="30"/>
          <w:lang w:eastAsia="zh-CN"/>
        </w:rPr>
        <w:t>工业管道日检</w:t>
      </w:r>
      <w:r>
        <w:rPr>
          <w:rFonts w:hint="eastAsia" w:ascii="仿宋_GB2312" w:hAnsi="仿宋_GB2312" w:eastAsia="仿宋_GB2312" w:cs="仿宋_GB2312"/>
          <w:b w:val="0"/>
          <w:bCs/>
          <w:color w:val="auto"/>
          <w:sz w:val="30"/>
          <w:szCs w:val="30"/>
        </w:rPr>
        <w:t>记录表格式</w:t>
      </w:r>
    </w:p>
    <w:tbl>
      <w:tblPr>
        <w:tblStyle w:val="8"/>
        <w:tblW w:w="956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594"/>
        <w:gridCol w:w="539"/>
        <w:gridCol w:w="4024"/>
        <w:gridCol w:w="1134"/>
        <w:gridCol w:w="22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2133"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管线号</w:t>
            </w:r>
          </w:p>
        </w:tc>
        <w:tc>
          <w:tcPr>
            <w:tcW w:w="7428" w:type="dxa"/>
            <w:gridSpan w:val="3"/>
            <w:shd w:val="clear" w:color="auto" w:fill="FFFFFF"/>
            <w:noWrap/>
            <w:vAlign w:val="center"/>
          </w:tcPr>
          <w:p>
            <w:pPr>
              <w:snapToGrid w:val="0"/>
              <w:jc w:val="center"/>
              <w:rPr>
                <w:rFonts w:ascii="Times New Roman" w:hAnsi="Times New Roman" w:eastAsia="黑体" w:cs="Times New Roman"/>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2133"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lang w:eastAsia="zh-CN"/>
              </w:rPr>
              <w:t>注册</w:t>
            </w:r>
            <w:r>
              <w:rPr>
                <w:rFonts w:ascii="Times New Roman" w:hAnsi="Times New Roman" w:eastAsia="黑体" w:cs="Times New Roman"/>
                <w:b/>
                <w:color w:val="auto"/>
                <w:sz w:val="18"/>
                <w:szCs w:val="18"/>
              </w:rPr>
              <w:t>编号</w:t>
            </w:r>
          </w:p>
        </w:tc>
        <w:tc>
          <w:tcPr>
            <w:tcW w:w="7428" w:type="dxa"/>
            <w:gridSpan w:val="3"/>
            <w:shd w:val="clear" w:color="auto" w:fill="FFFFFF"/>
            <w:noWrap/>
            <w:vAlign w:val="center"/>
          </w:tcPr>
          <w:p>
            <w:pPr>
              <w:snapToGrid w:val="0"/>
              <w:jc w:val="center"/>
              <w:rPr>
                <w:rFonts w:ascii="Times New Roman" w:hAnsi="Times New Roman" w:eastAsia="黑体" w:cs="Times New Roman"/>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2133"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检查项目</w:t>
            </w:r>
          </w:p>
        </w:tc>
        <w:tc>
          <w:tcPr>
            <w:tcW w:w="4024"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检查内容</w:t>
            </w:r>
          </w:p>
        </w:tc>
        <w:tc>
          <w:tcPr>
            <w:tcW w:w="1134"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检查结果</w:t>
            </w:r>
          </w:p>
        </w:tc>
        <w:tc>
          <w:tcPr>
            <w:tcW w:w="2270"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问题记录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工艺指标参数</w:t>
            </w:r>
          </w:p>
        </w:tc>
        <w:tc>
          <w:tcPr>
            <w:tcW w:w="5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val="en-US" w:eastAsia="en-US" w:bidi="en-US"/>
              </w:rPr>
              <w:t>★</w:t>
            </w: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压力：温度：介质：</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127"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运行情况</w:t>
            </w:r>
          </w:p>
        </w:tc>
        <w:tc>
          <w:tcPr>
            <w:tcW w:w="5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val="en-US" w:eastAsia="en-US" w:bidi="en-US"/>
              </w:rPr>
              <w:t>★</w:t>
            </w: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运行是否平稳、有无在超温、超压、异常波动等</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2" w:hRule="exact"/>
          <w:jc w:val="center"/>
        </w:trPr>
        <w:tc>
          <w:tcPr>
            <w:tcW w:w="1594" w:type="dxa"/>
            <w:vMerge w:val="restart"/>
            <w:shd w:val="clear" w:color="auto" w:fill="FFFFFF"/>
            <w:noWrap/>
            <w:vAlign w:val="center"/>
          </w:tcPr>
          <w:p>
            <w:pPr>
              <w:pStyle w:val="1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rPr>
              <w:t>管道本体及连接部位</w:t>
            </w:r>
          </w:p>
        </w:tc>
        <w:tc>
          <w:tcPr>
            <w:tcW w:w="539" w:type="dxa"/>
            <w:vMerge w:val="restart"/>
            <w:shd w:val="clear" w:color="auto" w:fill="FFFFFF"/>
            <w:noWrap/>
            <w:vAlign w:val="center"/>
          </w:tcPr>
          <w:p>
            <w:pPr>
              <w:pStyle w:val="10"/>
              <w:snapToGrid w:val="0"/>
              <w:jc w:val="center"/>
              <w:rPr>
                <w:rFonts w:ascii="Times New Roman" w:hAnsi="Times New Roman" w:cs="Times New Roman"/>
                <w:color w:val="auto"/>
                <w:sz w:val="18"/>
                <w:szCs w:val="18"/>
              </w:rPr>
            </w:pPr>
            <w:r>
              <w:rPr>
                <w:rFonts w:ascii="Times New Roman" w:hAnsi="Times New Roman" w:cs="Times New Roman"/>
                <w:color w:val="auto"/>
                <w:sz w:val="18"/>
                <w:szCs w:val="18"/>
                <w:lang w:val="en-US" w:eastAsia="en-US" w:bidi="en-US"/>
              </w:rPr>
              <w:t>★</w:t>
            </w: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管道本体有无损伤、无锈蚀、异常的变形等</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342" w:hRule="exact"/>
          <w:jc w:val="center"/>
        </w:trPr>
        <w:tc>
          <w:tcPr>
            <w:tcW w:w="1594"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压缩机、泵的出口部位；</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三通，弯头、大小头、支管连接等部位；</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支撑损坏部位附近的管道组成件以及主要受力焊缝；</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工作条件苛刻及承受交变载荷的管段等</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11"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防腐层、保温层</w:t>
            </w:r>
          </w:p>
        </w:tc>
        <w:tc>
          <w:tcPr>
            <w:tcW w:w="5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val="en-US" w:eastAsia="en-US" w:bidi="en-US"/>
              </w:rPr>
              <w:t>★</w:t>
            </w: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是否做好防腐等停炉保养工作</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11"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振动</w:t>
            </w:r>
          </w:p>
        </w:tc>
        <w:tc>
          <w:tcPr>
            <w:tcW w:w="539" w:type="dxa"/>
            <w:shd w:val="clear" w:color="auto" w:fill="FFFFFF"/>
            <w:noWrap/>
            <w:vAlign w:val="center"/>
          </w:tcPr>
          <w:p>
            <w:pPr>
              <w:jc w:val="center"/>
              <w:rPr>
                <w:rFonts w:ascii="Times New Roman" w:hAnsi="Times New Roman" w:cs="Times New Roman"/>
                <w:color w:val="auto"/>
              </w:rPr>
            </w:pPr>
            <w:r>
              <w:rPr>
                <w:rFonts w:ascii="Times New Roman" w:hAnsi="Times New Roman" w:eastAsia="宋体" w:cs="Times New Roman"/>
                <w:color w:val="auto"/>
                <w:sz w:val="18"/>
                <w:szCs w:val="18"/>
              </w:rPr>
              <w:t>★</w:t>
            </w: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防腐层、保温层破损、脱落。绝热层无跑冷现象</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11"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支吊架</w:t>
            </w:r>
          </w:p>
        </w:tc>
        <w:tc>
          <w:tcPr>
            <w:tcW w:w="539" w:type="dxa"/>
            <w:shd w:val="clear" w:color="auto" w:fill="FFFFFF"/>
            <w:noWrap/>
            <w:vAlign w:val="center"/>
          </w:tcPr>
          <w:p>
            <w:pPr>
              <w:jc w:val="center"/>
              <w:rPr>
                <w:rFonts w:ascii="Times New Roman" w:hAnsi="Times New Roman" w:cs="Times New Roman"/>
                <w:color w:val="auto"/>
              </w:rPr>
            </w:pPr>
            <w:r>
              <w:rPr>
                <w:rFonts w:ascii="Times New Roman" w:hAnsi="Times New Roman" w:eastAsia="宋体" w:cs="Times New Roman"/>
                <w:color w:val="auto"/>
                <w:sz w:val="18"/>
                <w:szCs w:val="18"/>
              </w:rPr>
              <w:t>★</w:t>
            </w: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管道是否存在异常振动等</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11"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阀门、膨胀节</w:t>
            </w:r>
          </w:p>
        </w:tc>
        <w:tc>
          <w:tcPr>
            <w:tcW w:w="539" w:type="dxa"/>
            <w:shd w:val="clear" w:color="auto" w:fill="FFFFFF"/>
            <w:noWrap/>
            <w:vAlign w:val="center"/>
          </w:tcPr>
          <w:p>
            <w:pPr>
              <w:jc w:val="center"/>
              <w:rPr>
                <w:rFonts w:ascii="Times New Roman" w:hAnsi="Times New Roman" w:cs="Times New Roman"/>
                <w:color w:val="auto"/>
              </w:rPr>
            </w:pPr>
            <w:r>
              <w:rPr>
                <w:rFonts w:ascii="Times New Roman" w:hAnsi="Times New Roman" w:eastAsia="宋体" w:cs="Times New Roman"/>
                <w:color w:val="auto"/>
                <w:sz w:val="18"/>
                <w:szCs w:val="18"/>
              </w:rPr>
              <w:t>★</w:t>
            </w: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管道支架固定稳当，无倾斜、配件无损坏等</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11"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安全保护装置</w:t>
            </w:r>
          </w:p>
        </w:tc>
        <w:tc>
          <w:tcPr>
            <w:tcW w:w="539" w:type="dxa"/>
            <w:shd w:val="clear" w:color="auto" w:fill="FFFFFF"/>
            <w:noWrap/>
            <w:vAlign w:val="center"/>
          </w:tcPr>
          <w:p>
            <w:pPr>
              <w:jc w:val="center"/>
              <w:rPr>
                <w:rFonts w:ascii="Times New Roman" w:hAnsi="Times New Roman" w:cs="Times New Roman"/>
                <w:color w:val="auto"/>
              </w:rPr>
            </w:pPr>
            <w:r>
              <w:rPr>
                <w:rFonts w:ascii="Times New Roman" w:hAnsi="Times New Roman" w:eastAsia="宋体" w:cs="Times New Roman"/>
                <w:color w:val="auto"/>
                <w:sz w:val="18"/>
                <w:szCs w:val="18"/>
              </w:rPr>
              <w:t>★</w:t>
            </w: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阀门、膨胀节、法兰完好，无腐蚀和松动现象阀门等，操作机构是否良好</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394"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管道摩擦</w:t>
            </w:r>
          </w:p>
        </w:tc>
        <w:tc>
          <w:tcPr>
            <w:tcW w:w="539" w:type="dxa"/>
            <w:shd w:val="clear" w:color="auto" w:fill="FFFFFF"/>
            <w:noWrap/>
            <w:vAlign w:val="center"/>
          </w:tcPr>
          <w:p>
            <w:pPr>
              <w:jc w:val="center"/>
              <w:rPr>
                <w:rFonts w:ascii="Times New Roman" w:hAnsi="Times New Roman" w:cs="Times New Roman"/>
                <w:color w:val="auto"/>
              </w:rPr>
            </w:pPr>
            <w:r>
              <w:rPr>
                <w:rFonts w:ascii="Times New Roman" w:hAnsi="Times New Roman" w:eastAsia="宋体" w:cs="Times New Roman"/>
                <w:color w:val="auto"/>
                <w:sz w:val="18"/>
                <w:szCs w:val="18"/>
              </w:rPr>
              <w:t>★</w:t>
            </w: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安全阀、爆破片完好，安全阀定期校验的铅封完整，并在有效期内是否完好。压力表表盘直径符合规定，最大刻度与运行参数相匹配；压力表的精度符合规定，并校验合格，在有效期内。按规定装设的温度计完好、灵敏、可靠</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11"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静电接地</w:t>
            </w:r>
          </w:p>
        </w:tc>
        <w:tc>
          <w:tcPr>
            <w:tcW w:w="539" w:type="dxa"/>
            <w:shd w:val="clear" w:color="auto" w:fill="FFFFFF"/>
            <w:noWrap/>
            <w:vAlign w:val="center"/>
          </w:tcPr>
          <w:p>
            <w:pPr>
              <w:jc w:val="center"/>
              <w:rPr>
                <w:rFonts w:ascii="Times New Roman" w:hAnsi="Times New Roman" w:cs="Times New Roman"/>
                <w:color w:val="auto"/>
              </w:rPr>
            </w:pPr>
            <w:r>
              <w:rPr>
                <w:rFonts w:ascii="Times New Roman" w:hAnsi="Times New Roman" w:eastAsia="宋体" w:cs="Times New Roman"/>
                <w:color w:val="auto"/>
                <w:sz w:val="18"/>
                <w:szCs w:val="18"/>
              </w:rPr>
              <w:t>★</w:t>
            </w: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管道</w:t>
            </w:r>
            <w:r>
              <w:rPr>
                <w:rFonts w:ascii="Times New Roman" w:hAnsi="Times New Roman" w:cs="Times New Roman"/>
                <w:color w:val="auto"/>
                <w:sz w:val="18"/>
                <w:szCs w:val="18"/>
                <w:lang w:val="en-US" w:eastAsia="zh-CN" w:bidi="en-US"/>
              </w:rPr>
              <w:t>之间</w:t>
            </w:r>
            <w:r>
              <w:rPr>
                <w:rFonts w:ascii="Times New Roman" w:hAnsi="Times New Roman" w:cs="Times New Roman"/>
                <w:color w:val="auto"/>
                <w:sz w:val="18"/>
                <w:szCs w:val="18"/>
              </w:rPr>
              <w:t>、管道和相邻构件的摩擦情况</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08"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其他异常情况及采取措施</w:t>
            </w:r>
          </w:p>
        </w:tc>
        <w:tc>
          <w:tcPr>
            <w:tcW w:w="539" w:type="dxa"/>
            <w:shd w:val="clear" w:color="auto" w:fill="FFFFFF"/>
            <w:noWrap/>
            <w:vAlign w:val="center"/>
          </w:tcPr>
          <w:p>
            <w:pPr>
              <w:snapToGrid w:val="0"/>
              <w:jc w:val="center"/>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w:t>
            </w:r>
          </w:p>
        </w:tc>
        <w:tc>
          <w:tcPr>
            <w:tcW w:w="4024" w:type="dxa"/>
            <w:shd w:val="clear" w:color="auto" w:fill="FFFFFF"/>
            <w:noWrap/>
            <w:vAlign w:val="center"/>
          </w:tcPr>
          <w:p>
            <w:pPr>
              <w:snapToGrid w:val="0"/>
              <w:rPr>
                <w:rFonts w:ascii="Times New Roman" w:hAnsi="Times New Roman" w:cs="Times New Roman"/>
                <w:color w:val="auto"/>
                <w:sz w:val="18"/>
                <w:szCs w:val="18"/>
              </w:rPr>
            </w:pP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14" w:hRule="exact"/>
          <w:jc w:val="center"/>
        </w:trPr>
        <w:tc>
          <w:tcPr>
            <w:tcW w:w="2133" w:type="dxa"/>
            <w:gridSpan w:val="2"/>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检查人员</w:t>
            </w:r>
          </w:p>
        </w:tc>
        <w:tc>
          <w:tcPr>
            <w:tcW w:w="4024" w:type="dxa"/>
            <w:shd w:val="clear" w:color="auto" w:fill="FFFFFF"/>
            <w:noWrap/>
            <w:vAlign w:val="center"/>
          </w:tcPr>
          <w:p>
            <w:pPr>
              <w:snapToGrid w:val="0"/>
              <w:rPr>
                <w:rFonts w:ascii="Times New Roman" w:hAnsi="Times New Roman" w:cs="Times New Roman"/>
                <w:color w:val="auto"/>
                <w:sz w:val="18"/>
                <w:szCs w:val="18"/>
              </w:rPr>
            </w:pPr>
          </w:p>
        </w:tc>
        <w:tc>
          <w:tcPr>
            <w:tcW w:w="3404"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日期：</w:t>
            </w:r>
          </w:p>
        </w:tc>
      </w:tr>
    </w:tbl>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注：</w:t>
      </w:r>
      <w:r>
        <w:rPr>
          <w:rFonts w:ascii="Times New Roman" w:hAnsi="Times New Roman" w:eastAsia="Times New Roman" w:cs="Times New Roman"/>
          <w:color w:val="auto"/>
          <w:sz w:val="18"/>
          <w:szCs w:val="18"/>
          <w:lang w:val="en-US" w:eastAsia="zh-CN" w:bidi="en-US"/>
        </w:rPr>
        <w:t>1.</w:t>
      </w:r>
      <w:r>
        <w:rPr>
          <w:rFonts w:ascii="Times New Roman" w:hAnsi="Times New Roman" w:cs="Times New Roman"/>
          <w:color w:val="auto"/>
          <w:sz w:val="18"/>
          <w:szCs w:val="18"/>
        </w:rPr>
        <w:t>本记录表为建议表格，使用单位可根据本单位实际情况修改。</w:t>
      </w:r>
    </w:p>
    <w:p>
      <w:pPr>
        <w:pStyle w:val="9"/>
        <w:snapToGrid w:val="0"/>
        <w:spacing w:line="240" w:lineRule="auto"/>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zh-CN" w:bidi="en-US"/>
        </w:rPr>
        <w:t xml:space="preserve">2. </w:t>
      </w:r>
      <w:r>
        <w:rPr>
          <w:rFonts w:ascii="Times New Roman" w:hAnsi="Times New Roman" w:cs="Times New Roman"/>
          <w:color w:val="auto"/>
          <w:sz w:val="18"/>
          <w:szCs w:val="18"/>
        </w:rPr>
        <w:t>★是《检验规程》要求的检查项目。</w:t>
      </w:r>
    </w:p>
    <w:p>
      <w:pPr>
        <w:snapToGrid w:val="0"/>
        <w:jc w:val="center"/>
        <w:rPr>
          <w:rFonts w:ascii="Times New Roman" w:hAnsi="Times New Roman" w:eastAsia="宋体" w:cs="Times New Roman"/>
          <w:color w:val="auto"/>
          <w:sz w:val="18"/>
          <w:szCs w:val="18"/>
        </w:rPr>
      </w:pPr>
    </w:p>
    <w:p>
      <w:pPr>
        <w:snapToGrid w:val="0"/>
        <w:rPr>
          <w:rFonts w:ascii="Times New Roman" w:hAnsi="Times New Roman" w:eastAsia="宋体" w:cs="Times New Roman"/>
          <w:color w:val="auto"/>
          <w:sz w:val="18"/>
          <w:szCs w:val="18"/>
        </w:rPr>
        <w:sectPr>
          <w:pgSz w:w="11900" w:h="16840"/>
          <w:pgMar w:top="1134" w:right="1134" w:bottom="1134" w:left="1134" w:header="851" w:footer="851" w:gutter="0"/>
          <w:pgNumType w:fmt="numberInDash"/>
          <w:cols w:space="720" w:num="1"/>
          <w:docGrid w:linePitch="360" w:charSpace="0"/>
        </w:sect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auto"/>
          <w:kern w:val="2"/>
          <w:sz w:val="32"/>
          <w:szCs w:val="32"/>
          <w:lang w:val="zh-TW" w:eastAsia="zh-TW" w:bidi="zh-TW"/>
        </w:rPr>
      </w:pPr>
      <w:r>
        <w:rPr>
          <w:rFonts w:hint="eastAsia" w:ascii="方正小标宋简体" w:hAnsi="方正小标宋简体" w:eastAsia="方正小标宋简体" w:cs="方正小标宋简体"/>
          <w:b w:val="0"/>
          <w:bCs/>
          <w:color w:val="auto"/>
          <w:kern w:val="2"/>
          <w:sz w:val="32"/>
          <w:szCs w:val="32"/>
          <w:lang w:val="zh-TW" w:eastAsia="zh-TW" w:bidi="zh-TW"/>
        </w:rPr>
        <w:t>表B.8  特种设备隐患排查清单——公用管道专项要求</w:t>
      </w:r>
    </w:p>
    <w:p>
      <w:pPr>
        <w:snapToGrid w:val="0"/>
        <w:rPr>
          <w:rFonts w:ascii="Times New Roman" w:hAnsi="Times New Roman" w:eastAsia="宋体" w:cs="Times New Roman"/>
          <w:color w:val="auto"/>
          <w:sz w:val="18"/>
          <w:szCs w:val="18"/>
        </w:rPr>
      </w:pPr>
    </w:p>
    <w:tbl>
      <w:tblPr>
        <w:tblStyle w:val="8"/>
        <w:tblW w:w="14616"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71"/>
        <w:gridCol w:w="850"/>
        <w:gridCol w:w="709"/>
        <w:gridCol w:w="851"/>
        <w:gridCol w:w="992"/>
        <w:gridCol w:w="950"/>
        <w:gridCol w:w="1034"/>
        <w:gridCol w:w="83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39" w:hRule="atLeast"/>
        </w:trPr>
        <w:tc>
          <w:tcPr>
            <w:tcW w:w="871"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排查内容(途径)</w:t>
            </w:r>
          </w:p>
        </w:tc>
        <w:tc>
          <w:tcPr>
            <w:tcW w:w="850"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实施单位</w:t>
            </w:r>
          </w:p>
        </w:tc>
        <w:tc>
          <w:tcPr>
            <w:tcW w:w="709"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排查人</w:t>
            </w:r>
          </w:p>
        </w:tc>
        <w:tc>
          <w:tcPr>
            <w:tcW w:w="851"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排查时间</w:t>
            </w:r>
          </w:p>
        </w:tc>
        <w:tc>
          <w:tcPr>
            <w:tcW w:w="2976" w:type="dxa"/>
            <w:gridSpan w:val="3"/>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val="en-US" w:eastAsia="zh-CN" w:bidi="en-US"/>
              </w:rPr>
            </w:pPr>
            <w:r>
              <w:rPr>
                <w:rFonts w:ascii="Times New Roman" w:hAnsi="Times New Roman" w:eastAsia="黑体" w:cs="Times New Roman"/>
                <w:b/>
                <w:color w:val="auto"/>
                <w:sz w:val="18"/>
                <w:szCs w:val="18"/>
                <w:lang w:val="en-US" w:eastAsia="zh-CN" w:bidi="en-US"/>
              </w:rPr>
              <w:t>排查依据</w:t>
            </w:r>
          </w:p>
        </w:tc>
        <w:tc>
          <w:tcPr>
            <w:tcW w:w="8359"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92" w:hRule="exact"/>
        </w:trPr>
        <w:tc>
          <w:tcPr>
            <w:tcW w:w="87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0" w:type="dxa"/>
            <w:vMerge w:val="continue"/>
            <w:shd w:val="clear" w:color="auto" w:fill="FFFFFF"/>
            <w:noWrap/>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1942"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法规标准</w:t>
            </w:r>
          </w:p>
        </w:tc>
        <w:tc>
          <w:tcPr>
            <w:tcW w:w="1034"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适用条款</w:t>
            </w:r>
          </w:p>
        </w:tc>
        <w:tc>
          <w:tcPr>
            <w:tcW w:w="8359"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414" w:hRule="exact"/>
        </w:trPr>
        <w:tc>
          <w:tcPr>
            <w:tcW w:w="87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管道改造和重大修理</w:t>
            </w:r>
          </w:p>
        </w:tc>
        <w:tc>
          <w:tcPr>
            <w:tcW w:w="8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施工单位</w:t>
            </w:r>
          </w:p>
        </w:tc>
        <w:tc>
          <w:tcPr>
            <w:tcW w:w="70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安全管理人员</w:t>
            </w: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每年一次</w:t>
            </w:r>
          </w:p>
        </w:tc>
        <w:tc>
          <w:tcPr>
            <w:tcW w:w="1942" w:type="dxa"/>
            <w:gridSpan w:val="2"/>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《压力管道监督检验规则》</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(TSG D7006-2020)</w:t>
            </w:r>
          </w:p>
        </w:tc>
        <w:tc>
          <w:tcPr>
            <w:tcW w:w="103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8359"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压力管道改造，是指改变管道规格、材质、结构布置或者改变管道介质、压力、温度等工作参数，致使管道性能参数或者管道结构发生变化的活动。</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压力管道重大修理，是指对管道采用焊接方法更换管段以及阀门、管子矫形、受压部件焊补、带压密封和带压封堵等。</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《特种设备目录》规定范围内的公用管道的</w:t>
            </w:r>
            <w:r>
              <w:rPr>
                <w:rFonts w:ascii="Times New Roman" w:hAnsi="Times New Roman" w:cs="Times New Roman"/>
                <w:color w:val="auto"/>
                <w:sz w:val="18"/>
                <w:szCs w:val="18"/>
              </w:rPr>
              <w:t>改造或者重大修理(应急抢修的管道施工过程除外)，一次性更换相同介质的管道总长度大于100 米的过程</w:t>
            </w:r>
            <w:r>
              <w:rPr>
                <w:rFonts w:ascii="Times New Roman" w:hAnsi="Times New Roman" w:cs="Times New Roman"/>
                <w:color w:val="auto"/>
                <w:sz w:val="18"/>
                <w:szCs w:val="18"/>
                <w:lang w:eastAsia="zh-CN"/>
              </w:rPr>
              <w:t>需要进行施工监检。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264" w:hRule="exact"/>
        </w:trPr>
        <w:tc>
          <w:tcPr>
            <w:tcW w:w="87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经常性维护保养</w:t>
            </w:r>
          </w:p>
        </w:tc>
        <w:tc>
          <w:tcPr>
            <w:tcW w:w="8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使用单位</w:t>
            </w:r>
          </w:p>
        </w:tc>
        <w:tc>
          <w:tcPr>
            <w:tcW w:w="70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使用单位自定</w:t>
            </w: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使用单位自定</w:t>
            </w:r>
          </w:p>
        </w:tc>
        <w:tc>
          <w:tcPr>
            <w:tcW w:w="1942" w:type="dxa"/>
            <w:gridSpan w:val="2"/>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特种设备安全监察条例</w:t>
            </w:r>
          </w:p>
        </w:tc>
        <w:tc>
          <w:tcPr>
            <w:tcW w:w="103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第二十七</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条</w:t>
            </w:r>
          </w:p>
        </w:tc>
        <w:tc>
          <w:tcPr>
            <w:tcW w:w="8359"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特种设备使用单位应当对在用特种设备进行经常性日常维护保养，并定期自行检查。</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特种设备使用单位对在用特种设备应当至少每月进行一次自行检查,并作出记录。特种设备使用单位在对在用特种设备进行自行检查和日常维护保养时发现异常情况的，应当及时处理。</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特种设备使用单位应当对在用特种设备的安全附件、安全保护装置、测量调控装置及有关附属仪器仪表进行定期校验、检修，并作出记录。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856" w:hRule="exact"/>
        </w:trPr>
        <w:tc>
          <w:tcPr>
            <w:tcW w:w="871"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年度检查</w:t>
            </w:r>
          </w:p>
        </w:tc>
        <w:tc>
          <w:tcPr>
            <w:tcW w:w="850"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使用单位或委托有资质的检验机构</w:t>
            </w:r>
          </w:p>
        </w:tc>
        <w:tc>
          <w:tcPr>
            <w:tcW w:w="709" w:type="dxa"/>
            <w:vMerge w:val="restart"/>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管道</w:t>
            </w:r>
            <w:r>
              <w:rPr>
                <w:rFonts w:ascii="Times New Roman" w:hAnsi="Times New Roman" w:cs="Times New Roman"/>
                <w:color w:val="auto"/>
                <w:sz w:val="18"/>
                <w:szCs w:val="18"/>
              </w:rPr>
              <w:t>作业人员或有资格的检验人员</w:t>
            </w:r>
          </w:p>
        </w:tc>
        <w:tc>
          <w:tcPr>
            <w:tcW w:w="851"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每年一次</w:t>
            </w:r>
          </w:p>
        </w:tc>
        <w:tc>
          <w:tcPr>
            <w:tcW w:w="1942" w:type="dxa"/>
            <w:gridSpan w:val="2"/>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压力管道定期检验规则——公用管道</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TSGD7004-</w:t>
            </w:r>
            <w:r>
              <w:rPr>
                <w:rFonts w:ascii="Times New Roman" w:hAnsi="Times New Roman" w:eastAsia="Times New Roman" w:cs="Times New Roman"/>
                <w:color w:val="auto"/>
                <w:sz w:val="18"/>
                <w:szCs w:val="18"/>
              </w:rPr>
              <w:t>2010</w:t>
            </w:r>
            <w:r>
              <w:rPr>
                <w:rFonts w:ascii="Times New Roman" w:hAnsi="Times New Roman" w:cs="Times New Roman"/>
                <w:color w:val="auto"/>
                <w:sz w:val="18"/>
                <w:szCs w:val="18"/>
                <w:lang w:eastAsia="zh-CN"/>
              </w:rPr>
              <w:t>)</w:t>
            </w:r>
          </w:p>
        </w:tc>
        <w:tc>
          <w:tcPr>
            <w:tcW w:w="103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第十四条</w:t>
            </w:r>
          </w:p>
        </w:tc>
        <w:tc>
          <w:tcPr>
            <w:tcW w:w="8359"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验人员应当在全面了解被检管道的使用情况、管理情况，并且认真调阅管道技术资料和管理资料的基础上，对管道运行记录、管道隐患监护措施实施情况记录、管道改造施工记录、检修报告、管道故障处理记录进行审查，记录审查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194" w:hRule="exact"/>
        </w:trPr>
        <w:tc>
          <w:tcPr>
            <w:tcW w:w="87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942" w:type="dxa"/>
            <w:gridSpan w:val="2"/>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03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A1资料审查</w:t>
            </w:r>
          </w:p>
        </w:tc>
        <w:tc>
          <w:tcPr>
            <w:tcW w:w="8359"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A1 资料审查</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(1)安全管理资料，包括使用登记证、安全管理规章制度与安全操作规则、作业人员上岗持证情况；</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(2)技术档案资料，包括定期检验报告，必要时还包括设计资料和安装、改造、维修等施工、竣工验收资料；</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(3)运行状况资料，包括日常运行维护记录、隐患排查治理记录、改造与维修资料、故障与事故记录。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414" w:hRule="exact"/>
        </w:trPr>
        <w:tc>
          <w:tcPr>
            <w:tcW w:w="87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snapToGrid w:val="0"/>
              <w:rPr>
                <w:rFonts w:ascii="Times New Roman" w:hAnsi="Times New Roman" w:cs="Times New Roman"/>
                <w:color w:val="auto"/>
                <w:sz w:val="18"/>
                <w:szCs w:val="18"/>
              </w:rPr>
            </w:pPr>
          </w:p>
        </w:tc>
        <w:tc>
          <w:tcPr>
            <w:tcW w:w="851" w:type="dxa"/>
            <w:vMerge w:val="continue"/>
            <w:shd w:val="clear" w:color="auto" w:fill="FFFFFF"/>
            <w:noWrap/>
            <w:vAlign w:val="center"/>
          </w:tcPr>
          <w:p>
            <w:pPr>
              <w:snapToGrid w:val="0"/>
              <w:rPr>
                <w:rFonts w:ascii="Times New Roman" w:hAnsi="Times New Roman" w:cs="Times New Roman"/>
                <w:color w:val="auto"/>
                <w:sz w:val="18"/>
                <w:szCs w:val="18"/>
              </w:rPr>
            </w:pPr>
          </w:p>
        </w:tc>
        <w:tc>
          <w:tcPr>
            <w:tcW w:w="1942" w:type="dxa"/>
            <w:gridSpan w:val="2"/>
            <w:vMerge w:val="continue"/>
            <w:shd w:val="clear" w:color="auto" w:fill="FFFFFF"/>
            <w:noWrap/>
            <w:vAlign w:val="center"/>
          </w:tcPr>
          <w:p>
            <w:pPr>
              <w:pStyle w:val="10"/>
              <w:snapToGrid w:val="0"/>
              <w:rPr>
                <w:rFonts w:ascii="Times New Roman" w:hAnsi="Times New Roman" w:cs="Times New Roman"/>
                <w:color w:val="auto"/>
                <w:sz w:val="18"/>
                <w:szCs w:val="18"/>
                <w:lang w:eastAsia="zh-CN"/>
              </w:rPr>
            </w:pPr>
          </w:p>
        </w:tc>
        <w:tc>
          <w:tcPr>
            <w:tcW w:w="103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第十五条</w:t>
            </w:r>
          </w:p>
        </w:tc>
        <w:tc>
          <w:tcPr>
            <w:tcW w:w="8359"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根据审查的数据进行综合评价，确定事故容易发生的位置以及发生事故造成严重后果的位置，并且重点对下列管道进行检查：</w:t>
            </w:r>
          </w:p>
          <w:p>
            <w:pPr>
              <w:pStyle w:val="10"/>
              <w:tabs>
                <w:tab w:val="left" w:pos="355"/>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(一)穿跨越管道；</w:t>
            </w:r>
          </w:p>
          <w:p>
            <w:pPr>
              <w:pStyle w:val="10"/>
              <w:tabs>
                <w:tab w:val="left" w:pos="355"/>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(二)管道出土、入土点，管道分支处、敷设位置较低的管道以及位于排污管和其它液体管道下的</w:t>
            </w:r>
            <w:r>
              <w:rPr>
                <w:rFonts w:ascii="Times New Roman" w:hAnsi="Times New Roman" w:eastAsia="Times New Roman" w:cs="Times New Roman"/>
                <w:color w:val="auto"/>
                <w:sz w:val="18"/>
                <w:szCs w:val="18"/>
                <w:lang w:val="en-US" w:eastAsia="zh-CN" w:bidi="en-US"/>
              </w:rPr>
              <w:t xml:space="preserve">GB1 </w:t>
            </w:r>
            <w:r>
              <w:rPr>
                <w:rFonts w:ascii="Times New Roman" w:hAnsi="Times New Roman" w:cs="Times New Roman"/>
                <w:color w:val="auto"/>
                <w:sz w:val="18"/>
                <w:szCs w:val="18"/>
              </w:rPr>
              <w:t>管道；</w:t>
            </w:r>
          </w:p>
          <w:p>
            <w:pPr>
              <w:pStyle w:val="10"/>
              <w:tabs>
                <w:tab w:val="left" w:pos="365"/>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(三)曾经发生过影响管道安全运行的泄漏、较大以上(含较大)事故的管道；</w:t>
            </w:r>
          </w:p>
          <w:p>
            <w:pPr>
              <w:pStyle w:val="10"/>
              <w:tabs>
                <w:tab w:val="left" w:pos="35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(四)工作条件苛刻以及承受交变载荷的管道；</w:t>
            </w:r>
          </w:p>
          <w:p>
            <w:pPr>
              <w:pStyle w:val="10"/>
              <w:tabs>
                <w:tab w:val="left" w:pos="35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(五)存在第三方破坏的管道；</w:t>
            </w:r>
          </w:p>
          <w:p>
            <w:pPr>
              <w:pStyle w:val="10"/>
              <w:tabs>
                <w:tab w:val="left" w:pos="365"/>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(六)曾经为非机动车道或绿化带改为机动车道</w:t>
            </w:r>
            <w:r>
              <w:rPr>
                <w:rFonts w:ascii="Times New Roman" w:hAnsi="Times New Roman" w:cs="Times New Roman"/>
                <w:color w:val="auto"/>
                <w:sz w:val="18"/>
                <w:szCs w:val="18"/>
                <w:lang w:eastAsia="zh-CN"/>
              </w:rPr>
              <w:t>的</w:t>
            </w:r>
            <w:r>
              <w:rPr>
                <w:rFonts w:ascii="Times New Roman" w:hAnsi="Times New Roman" w:cs="Times New Roman"/>
                <w:color w:val="auto"/>
                <w:sz w:val="18"/>
                <w:szCs w:val="18"/>
              </w:rPr>
              <w:t>、经过空穴(地下室)的管道；</w:t>
            </w:r>
          </w:p>
          <w:p>
            <w:pPr>
              <w:pStyle w:val="10"/>
              <w:tabs>
                <w:tab w:val="left" w:pos="35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(七)位于边坡等位置的管道。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020" w:hRule="exact"/>
        </w:trPr>
        <w:tc>
          <w:tcPr>
            <w:tcW w:w="87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942" w:type="dxa"/>
            <w:gridSpan w:val="2"/>
            <w:vMerge w:val="continue"/>
            <w:shd w:val="clear" w:color="auto" w:fill="FFFFFF"/>
            <w:noWrap/>
            <w:vAlign w:val="center"/>
          </w:tcPr>
          <w:p>
            <w:pPr>
              <w:pStyle w:val="10"/>
              <w:snapToGrid w:val="0"/>
              <w:rPr>
                <w:rFonts w:ascii="Times New Roman" w:hAnsi="Times New Roman" w:cs="Times New Roman"/>
                <w:color w:val="auto"/>
                <w:sz w:val="18"/>
                <w:szCs w:val="18"/>
                <w:lang w:eastAsia="zh-CN"/>
              </w:rPr>
            </w:pPr>
          </w:p>
        </w:tc>
        <w:tc>
          <w:tcPr>
            <w:tcW w:w="103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第十六条</w:t>
            </w:r>
          </w:p>
        </w:tc>
        <w:tc>
          <w:tcPr>
            <w:tcW w:w="8359"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年度检查的内容除</w:t>
            </w:r>
            <w:r>
              <w:rPr>
                <w:rFonts w:ascii="Times New Roman" w:hAnsi="Times New Roman" w:eastAsia="Times New Roman" w:cs="Times New Roman"/>
                <w:color w:val="auto"/>
                <w:sz w:val="18"/>
                <w:szCs w:val="18"/>
                <w:lang w:val="en-US" w:eastAsia="zh-CN" w:bidi="en-US"/>
              </w:rPr>
              <w:t>TSG D7004-2010</w:t>
            </w:r>
            <w:r>
              <w:rPr>
                <w:rFonts w:ascii="Times New Roman" w:hAnsi="Times New Roman" w:cs="Times New Roman"/>
                <w:color w:val="auto"/>
                <w:sz w:val="18"/>
                <w:szCs w:val="18"/>
              </w:rPr>
              <w:t>中第十四条、十五条的要求外，还应当包括宏观检查、防腐保温层检查、电性能测试、阴极保护系统测试、壁厚测定、</w:t>
            </w:r>
            <w:r>
              <w:rPr>
                <w:rFonts w:ascii="Times New Roman" w:hAnsi="Times New Roman" w:eastAsia="Times New Roman" w:cs="Times New Roman"/>
                <w:color w:val="auto"/>
                <w:sz w:val="18"/>
                <w:szCs w:val="18"/>
                <w:lang w:val="en-US" w:eastAsia="zh-CN" w:bidi="en-US"/>
              </w:rPr>
              <w:t>GB1</w:t>
            </w:r>
            <w:r>
              <w:rPr>
                <w:rFonts w:ascii="Times New Roman" w:hAnsi="Times New Roman" w:cs="Times New Roman"/>
                <w:color w:val="auto"/>
                <w:sz w:val="18"/>
                <w:szCs w:val="18"/>
              </w:rPr>
              <w:t>级管道介质腐蚀性调查、安全保护装置检验，必要时进行腐蚀防护系统检查，其他项目可结合日常巡线进行。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73" w:hRule="atLeast"/>
        </w:trPr>
        <w:tc>
          <w:tcPr>
            <w:tcW w:w="871"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排查内容(途径)</w:t>
            </w:r>
          </w:p>
        </w:tc>
        <w:tc>
          <w:tcPr>
            <w:tcW w:w="850"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实施单位</w:t>
            </w:r>
          </w:p>
        </w:tc>
        <w:tc>
          <w:tcPr>
            <w:tcW w:w="709"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排查人</w:t>
            </w:r>
          </w:p>
        </w:tc>
        <w:tc>
          <w:tcPr>
            <w:tcW w:w="851"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排查时间</w:t>
            </w:r>
          </w:p>
        </w:tc>
        <w:tc>
          <w:tcPr>
            <w:tcW w:w="2976" w:type="dxa"/>
            <w:gridSpan w:val="3"/>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黑体" w:cs="Times New Roman"/>
                <w:b/>
                <w:color w:val="auto"/>
                <w:sz w:val="18"/>
                <w:szCs w:val="18"/>
                <w:lang w:val="en-US" w:eastAsia="zh-CN" w:bidi="en-US"/>
              </w:rPr>
              <w:t>排查依据</w:t>
            </w:r>
          </w:p>
        </w:tc>
        <w:tc>
          <w:tcPr>
            <w:tcW w:w="8359"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黑体" w:cs="Times New Roman"/>
                <w:b/>
                <w:color w:val="auto"/>
                <w:sz w:val="18"/>
                <w:szCs w:val="18"/>
                <w:lang w:eastAsia="zh-CN"/>
              </w:rPr>
              <w:t>排查要求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68" w:hRule="exact"/>
        </w:trPr>
        <w:tc>
          <w:tcPr>
            <w:tcW w:w="871" w:type="dxa"/>
            <w:vMerge w:val="continue"/>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p>
        </w:tc>
        <w:tc>
          <w:tcPr>
            <w:tcW w:w="709" w:type="dxa"/>
            <w:vMerge w:val="continue"/>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p>
        </w:tc>
        <w:tc>
          <w:tcPr>
            <w:tcW w:w="992" w:type="dxa"/>
            <w:shd w:val="clear" w:color="auto" w:fill="FFFFFF"/>
            <w:noWrap/>
            <w:vAlign w:val="center"/>
          </w:tcPr>
          <w:p>
            <w:pPr>
              <w:pStyle w:val="10"/>
              <w:snapToGrid w:val="0"/>
              <w:jc w:val="center"/>
              <w:rPr>
                <w:rFonts w:ascii="Times New Roman" w:hAnsi="Times New Roman" w:cs="Times New Roman"/>
                <w:color w:val="auto"/>
                <w:sz w:val="18"/>
                <w:szCs w:val="18"/>
                <w:lang w:eastAsia="zh-CN"/>
              </w:rPr>
            </w:pPr>
            <w:r>
              <w:rPr>
                <w:rFonts w:ascii="Times New Roman" w:hAnsi="Times New Roman" w:eastAsia="黑体" w:cs="Times New Roman"/>
                <w:b/>
                <w:color w:val="auto"/>
                <w:sz w:val="18"/>
                <w:szCs w:val="18"/>
                <w:lang w:eastAsia="zh-CN"/>
              </w:rPr>
              <w:t>法规标准</w:t>
            </w:r>
          </w:p>
        </w:tc>
        <w:tc>
          <w:tcPr>
            <w:tcW w:w="1984" w:type="dxa"/>
            <w:gridSpan w:val="2"/>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黑体" w:cs="Times New Roman"/>
                <w:b/>
                <w:color w:val="auto"/>
                <w:sz w:val="18"/>
                <w:szCs w:val="18"/>
                <w:lang w:eastAsia="zh-CN"/>
              </w:rPr>
              <w:t>适用条款</w:t>
            </w:r>
          </w:p>
        </w:tc>
        <w:tc>
          <w:tcPr>
            <w:tcW w:w="8359" w:type="dxa"/>
            <w:vMerge w:val="continue"/>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3085" w:hRule="exact"/>
        </w:trPr>
        <w:tc>
          <w:tcPr>
            <w:tcW w:w="871"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年度检查</w:t>
            </w:r>
          </w:p>
        </w:tc>
        <w:tc>
          <w:tcPr>
            <w:tcW w:w="850"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使用单位或委托有资质的检验机构</w:t>
            </w:r>
          </w:p>
        </w:tc>
        <w:tc>
          <w:tcPr>
            <w:tcW w:w="709" w:type="dxa"/>
            <w:vMerge w:val="restart"/>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eastAsia="zh-CN"/>
              </w:rPr>
              <w:t>管道</w:t>
            </w:r>
            <w:r>
              <w:rPr>
                <w:rFonts w:ascii="Times New Roman" w:hAnsi="Times New Roman" w:cs="Times New Roman"/>
                <w:color w:val="auto"/>
                <w:sz w:val="18"/>
                <w:szCs w:val="18"/>
              </w:rPr>
              <w:t>作业人员或有资格的检验人员</w:t>
            </w:r>
          </w:p>
        </w:tc>
        <w:tc>
          <w:tcPr>
            <w:tcW w:w="851"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每年一次</w:t>
            </w:r>
          </w:p>
        </w:tc>
        <w:tc>
          <w:tcPr>
            <w:tcW w:w="992"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压力管道定期检验规则——公用管道</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TSGD7004-</w:t>
            </w:r>
            <w:r>
              <w:rPr>
                <w:rFonts w:ascii="Times New Roman" w:hAnsi="Times New Roman" w:eastAsia="Times New Roman" w:cs="Times New Roman"/>
                <w:color w:val="auto"/>
                <w:sz w:val="18"/>
                <w:szCs w:val="18"/>
              </w:rPr>
              <w:t>2010</w:t>
            </w:r>
            <w:r>
              <w:rPr>
                <w:rFonts w:ascii="Times New Roman" w:hAnsi="Times New Roman" w:cs="Times New Roman"/>
                <w:color w:val="auto"/>
                <w:sz w:val="18"/>
                <w:szCs w:val="18"/>
                <w:lang w:eastAsia="zh-CN"/>
              </w:rPr>
              <w:t>)</w:t>
            </w:r>
          </w:p>
        </w:tc>
        <w:tc>
          <w:tcPr>
            <w:tcW w:w="1984" w:type="dxa"/>
            <w:gridSpan w:val="2"/>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A2宏观检查</w:t>
            </w:r>
          </w:p>
        </w:tc>
        <w:tc>
          <w:tcPr>
            <w:tcW w:w="8359"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(1)泄漏检查，主要检查管道穿、跨越段、阀门、阀井、法兰、凝水缸、补偿器、调压器、套管等组成件，铸铁管连接接口、非金属管道熔接接口(含钢塑转换接口)的泄漏情况(对管道采用相应的泄漏检测仪进行泄漏点检测或者地面钻孔检测，必要时对燃气可能泄漏扩散到的地沟、窨井、地下建(构)筑物内进行检查；对次高压燃气压力管道，必要时可以采用声学泄漏检测方法进行远距离泄漏检测)；</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(2)位置与走向检查(注A-1)；</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(3)地面标志检查；</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(4)管道沿线地表环境调查，主要检查管道与其他建(构)筑物或者管道的净距、占压状况、管道裸露、土壤扰动情况等；</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(5)穿、跨越管段检查，主要检查穿越管道锚固墩、套管检查孔的完好情况以及河流冲刷侵蚀情况，跨越管道防腐(保温)层、补偿器完好情况，吊索、支架、管子墩架的变形、腐蚀情况；</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(6)凝水缸检查，主要检查定期排放积水情况，护盖、排水装置的泄漏、腐蚀和堵塞情况；</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(7)阀门、法兰、补偿器等管道元件的检查；</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(8)检查人员认为有必要的其他检查。</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注A-1：如果管道周围地表环境无较大变动、管道无沉降等情况，可以不要求。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563" w:hRule="exact"/>
        </w:trPr>
        <w:tc>
          <w:tcPr>
            <w:tcW w:w="87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rPr>
                <w:rFonts w:ascii="Times New Roman" w:hAnsi="Times New Roman" w:cs="Times New Roman"/>
                <w:color w:val="auto"/>
                <w:sz w:val="18"/>
                <w:szCs w:val="18"/>
                <w:lang w:eastAsia="zh-CN"/>
              </w:rPr>
            </w:pPr>
          </w:p>
        </w:tc>
        <w:tc>
          <w:tcPr>
            <w:tcW w:w="1984" w:type="dxa"/>
            <w:gridSpan w:val="2"/>
            <w:shd w:val="clear" w:color="auto" w:fill="FFFFFF"/>
            <w:noWrap/>
            <w:vAlign w:val="center"/>
          </w:tcPr>
          <w:p>
            <w:pPr>
              <w:pStyle w:val="10"/>
              <w:snapToGrid w:val="0"/>
              <w:spacing w:line="240" w:lineRule="auto"/>
              <w:jc w:val="lef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A3 防腐(保温)层检查(适用于钢质管道)</w:t>
            </w:r>
          </w:p>
        </w:tc>
        <w:tc>
          <w:tcPr>
            <w:tcW w:w="8359" w:type="dxa"/>
            <w:shd w:val="clear" w:color="auto" w:fill="FFFFFF"/>
            <w:noWrap/>
            <w:vAlign w:val="center"/>
          </w:tcPr>
          <w:p>
            <w:pPr>
              <w:pStyle w:val="10"/>
              <w:snapToGrid w:val="0"/>
              <w:spacing w:line="240" w:lineRule="auto"/>
              <w:jc w:val="lef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主要检查入土端与出土端、露管段、阀井内、阀室内管道防腐(保温)层的完好情况。检查人员认为有必要时，可以对风险较高地段管道采用检测设备进行地面不开挖检测。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571" w:hRule="exact"/>
        </w:trPr>
        <w:tc>
          <w:tcPr>
            <w:tcW w:w="87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rPr>
                <w:rFonts w:ascii="Times New Roman" w:hAnsi="Times New Roman" w:cs="Times New Roman"/>
                <w:color w:val="auto"/>
                <w:sz w:val="18"/>
                <w:szCs w:val="18"/>
                <w:lang w:eastAsia="zh-CN"/>
              </w:rPr>
            </w:pPr>
          </w:p>
        </w:tc>
        <w:tc>
          <w:tcPr>
            <w:tcW w:w="1984"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A4电性能测试(适用于有阴极保护的钢质管道)</w:t>
            </w:r>
          </w:p>
        </w:tc>
        <w:tc>
          <w:tcPr>
            <w:tcW w:w="8359"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(1)测试绝缘法兰、绝缘接头、绝缘短管、绝缘套、绝缘固定支墩和绝缘垫块等电绝缘装置的绝缘性能；</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(2)对采用法兰和螺纹等非焊接件连接的阀门等管道附件的跨接电缆或者其他电连接设施，测试其电连续性。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418" w:hRule="exact"/>
        </w:trPr>
        <w:tc>
          <w:tcPr>
            <w:tcW w:w="87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rPr>
                <w:rFonts w:ascii="Times New Roman" w:hAnsi="Times New Roman" w:cs="Times New Roman"/>
                <w:color w:val="auto"/>
                <w:sz w:val="18"/>
                <w:szCs w:val="18"/>
                <w:lang w:eastAsia="zh-CN"/>
              </w:rPr>
            </w:pPr>
          </w:p>
        </w:tc>
        <w:tc>
          <w:tcPr>
            <w:tcW w:w="1984" w:type="dxa"/>
            <w:gridSpan w:val="2"/>
            <w:shd w:val="clear" w:color="auto" w:fill="FFFFFF"/>
            <w:noWrap/>
            <w:vAlign w:val="center"/>
          </w:tcPr>
          <w:p>
            <w:pPr>
              <w:pStyle w:val="10"/>
              <w:snapToGrid w:val="0"/>
              <w:spacing w:line="240" w:lineRule="auto"/>
              <w:jc w:val="left"/>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A5 阴极保护系统测试(适用于有阴极保护的钢质管道)</w:t>
            </w:r>
          </w:p>
        </w:tc>
        <w:tc>
          <w:tcPr>
            <w:tcW w:w="8359"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(1)管道沿线保护电位，测量时应考虑IR(注A-2)降的影响；</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(2)牺牲阳极输出电流、开路电位(当管道保护电位异常时测试)；</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(3)管内电流(当管道保护电位异常时测试)；</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(4)辅助阳极床和牺牲阳极接地电阻(牺牲阳极接地电阻应当在管道保护电位异常时测试)；</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(5)阴极保护系统运行状况，检查管道阴极保护率和运行率、排流效果，阴极保护系统设备及其排流设施。</w:t>
            </w:r>
          </w:p>
          <w:p>
            <w:pPr>
              <w:pStyle w:val="10"/>
              <w:snapToGrid w:val="0"/>
              <w:spacing w:line="240" w:lineRule="auto"/>
              <w:rPr>
                <w:rFonts w:ascii="Times New Roman" w:hAnsi="Times New Roman" w:cs="Times New Roman"/>
                <w:color w:val="auto"/>
                <w:sz w:val="15"/>
                <w:szCs w:val="15"/>
              </w:rPr>
            </w:pPr>
            <w:r>
              <w:rPr>
                <w:rFonts w:ascii="Times New Roman" w:hAnsi="Times New Roman" w:cs="Times New Roman"/>
                <w:color w:val="auto"/>
                <w:sz w:val="15"/>
                <w:szCs w:val="15"/>
              </w:rPr>
              <w:t>注A-2：管道外防腐层破损部位的阴极保护电流在土壤介质中产生的电位梯度。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546" w:hRule="exact"/>
        </w:trPr>
        <w:tc>
          <w:tcPr>
            <w:tcW w:w="87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rPr>
                <w:rFonts w:ascii="Times New Roman" w:hAnsi="Times New Roman" w:cs="Times New Roman"/>
                <w:color w:val="auto"/>
                <w:sz w:val="18"/>
                <w:szCs w:val="18"/>
                <w:lang w:eastAsia="zh-CN"/>
              </w:rPr>
            </w:pPr>
          </w:p>
        </w:tc>
        <w:tc>
          <w:tcPr>
            <w:tcW w:w="1984"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A6壁厚测定</w:t>
            </w:r>
          </w:p>
        </w:tc>
        <w:tc>
          <w:tcPr>
            <w:tcW w:w="8359"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利用阀井或者探坑，对重要压力管道或者有明显腐蚀和冲刷减薄的弯头、三通、盲管、管径突变部位以及相邻直管部位进行壁厚抽样测定。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473" w:hRule="exact"/>
        </w:trPr>
        <w:tc>
          <w:tcPr>
            <w:tcW w:w="87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9"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2" w:type="dxa"/>
            <w:vMerge w:val="continue"/>
            <w:shd w:val="clear" w:color="auto" w:fill="FFFFFF"/>
            <w:noWrap/>
            <w:vAlign w:val="center"/>
          </w:tcPr>
          <w:p>
            <w:pPr>
              <w:pStyle w:val="10"/>
              <w:snapToGrid w:val="0"/>
              <w:rPr>
                <w:rFonts w:ascii="Times New Roman" w:hAnsi="Times New Roman" w:cs="Times New Roman"/>
                <w:color w:val="auto"/>
                <w:sz w:val="18"/>
                <w:szCs w:val="18"/>
                <w:lang w:eastAsia="zh-CN"/>
              </w:rPr>
            </w:pPr>
          </w:p>
        </w:tc>
        <w:tc>
          <w:tcPr>
            <w:tcW w:w="1984"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A7介质腐蚀性调查(适用于燃气压力管道)</w:t>
            </w:r>
          </w:p>
        </w:tc>
        <w:tc>
          <w:tcPr>
            <w:tcW w:w="8359"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对管输介质成分测试报告进行分析，开展介质腐蚀性调查。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426" w:hRule="exact"/>
        </w:trPr>
        <w:tc>
          <w:tcPr>
            <w:tcW w:w="87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rPr>
                <w:rFonts w:ascii="Times New Roman" w:hAnsi="Times New Roman" w:cs="Times New Roman"/>
                <w:color w:val="auto"/>
                <w:sz w:val="18"/>
                <w:szCs w:val="18"/>
                <w:lang w:eastAsia="zh-CN"/>
              </w:rPr>
            </w:pPr>
          </w:p>
        </w:tc>
        <w:tc>
          <w:tcPr>
            <w:tcW w:w="1984"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A8安全保护装置检验</w:t>
            </w:r>
          </w:p>
        </w:tc>
        <w:tc>
          <w:tcPr>
            <w:tcW w:w="8359"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参照工业管道定期检验有关要求执行，特殊的安全保护装置参照现行相关标准的规定。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687" w:hRule="atLeast"/>
        </w:trPr>
        <w:tc>
          <w:tcPr>
            <w:tcW w:w="87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92" w:type="dxa"/>
            <w:vMerge w:val="continue"/>
            <w:shd w:val="clear" w:color="auto" w:fill="FFFFFF"/>
            <w:noWrap/>
            <w:vAlign w:val="center"/>
          </w:tcPr>
          <w:p>
            <w:pPr>
              <w:pStyle w:val="10"/>
              <w:snapToGrid w:val="0"/>
              <w:rPr>
                <w:rFonts w:ascii="Times New Roman" w:hAnsi="Times New Roman" w:cs="Times New Roman"/>
                <w:color w:val="auto"/>
                <w:sz w:val="18"/>
                <w:szCs w:val="18"/>
                <w:lang w:eastAsia="zh-CN"/>
              </w:rPr>
            </w:pPr>
          </w:p>
        </w:tc>
        <w:tc>
          <w:tcPr>
            <w:tcW w:w="1984" w:type="dxa"/>
            <w:gridSpan w:val="2"/>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第十七条</w:t>
            </w:r>
          </w:p>
        </w:tc>
        <w:tc>
          <w:tcPr>
            <w:tcW w:w="8359"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年度检查的现场工作结束后，检查人员应当根据检查情况出具年度检查报告，作出下述检查结论：</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(一)允许使用，检查结果符合有关安全技术规范及其相应标准的规定；</w:t>
            </w:r>
          </w:p>
          <w:p>
            <w:pPr>
              <w:autoSpaceDE w:val="0"/>
              <w:autoSpaceDN w:val="0"/>
              <w:adjustRightInd w:val="0"/>
              <w:jc w:val="left"/>
              <w:rPr>
                <w:rFonts w:ascii="Times New Roman" w:hAnsi="Times New Roman" w:eastAsia="宋体" w:cs="Times New Roman"/>
                <w:color w:val="auto"/>
                <w:sz w:val="18"/>
                <w:szCs w:val="18"/>
                <w:lang w:val="zh-TW" w:eastAsia="zh-TW" w:bidi="zh-TW"/>
              </w:rPr>
            </w:pPr>
            <w:r>
              <w:rPr>
                <w:rFonts w:ascii="Times New Roman" w:hAnsi="Times New Roman" w:eastAsia="宋体" w:cs="Times New Roman"/>
                <w:color w:val="auto"/>
                <w:sz w:val="18"/>
                <w:szCs w:val="18"/>
                <w:lang w:val="zh-TW" w:eastAsia="zh-TW" w:bidi="zh-TW"/>
              </w:rPr>
              <w:t>(二)进行全面检验，发现存在超出有关安全技术规范规定的缺陷，并且不能满足</w:t>
            </w:r>
            <w:r>
              <w:rPr>
                <w:rFonts w:ascii="Times New Roman" w:hAnsi="Times New Roman" w:cs="Times New Roman"/>
                <w:color w:val="auto"/>
                <w:sz w:val="18"/>
                <w:szCs w:val="18"/>
              </w:rPr>
              <w:t>安全使用要求。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708" w:hRule="exact"/>
        </w:trPr>
        <w:tc>
          <w:tcPr>
            <w:tcW w:w="871" w:type="dxa"/>
            <w:tcBorders>
              <w:top w:val="single" w:color="auto" w:sz="4" w:space="0"/>
              <w:bottom w:val="single" w:color="auto" w:sz="12"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全面检验</w:t>
            </w:r>
          </w:p>
        </w:tc>
        <w:tc>
          <w:tcPr>
            <w:tcW w:w="850" w:type="dxa"/>
            <w:tcBorders>
              <w:top w:val="single" w:color="auto" w:sz="4" w:space="0"/>
              <w:bottom w:val="single" w:color="auto" w:sz="12"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检验机构</w:t>
            </w:r>
          </w:p>
        </w:tc>
        <w:tc>
          <w:tcPr>
            <w:tcW w:w="709" w:type="dxa"/>
            <w:tcBorders>
              <w:top w:val="single" w:color="auto" w:sz="4" w:space="0"/>
              <w:bottom w:val="single" w:color="auto" w:sz="12"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有资格的检验人员</w:t>
            </w:r>
          </w:p>
        </w:tc>
        <w:tc>
          <w:tcPr>
            <w:tcW w:w="851" w:type="dxa"/>
            <w:tcBorders>
              <w:top w:val="single" w:color="auto" w:sz="4" w:space="0"/>
              <w:bottom w:val="single" w:color="auto" w:sz="12"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按上次检验报告</w:t>
            </w:r>
          </w:p>
        </w:tc>
        <w:tc>
          <w:tcPr>
            <w:tcW w:w="992" w:type="dxa"/>
            <w:vMerge w:val="continue"/>
            <w:tcBorders>
              <w:bottom w:val="single" w:color="auto" w:sz="12" w:space="0"/>
            </w:tcBorders>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c>
          <w:tcPr>
            <w:tcW w:w="1984" w:type="dxa"/>
            <w:gridSpan w:val="2"/>
            <w:tcBorders>
              <w:top w:val="single" w:color="auto" w:sz="4" w:space="0"/>
              <w:bottom w:val="single" w:color="auto" w:sz="12" w:space="0"/>
            </w:tcBorders>
            <w:shd w:val="clear" w:color="auto" w:fill="FFFFFF"/>
            <w:noWrap/>
            <w:vAlign w:val="center"/>
          </w:tcPr>
          <w:p>
            <w:pPr>
              <w:snapToGrid w:val="0"/>
              <w:jc w:val="center"/>
              <w:rPr>
                <w:rFonts w:ascii="Times New Roman" w:hAnsi="Times New Roman" w:cs="Times New Roman"/>
                <w:color w:val="auto"/>
                <w:sz w:val="18"/>
                <w:szCs w:val="18"/>
              </w:rPr>
            </w:pPr>
            <w:r>
              <w:rPr>
                <w:rFonts w:ascii="Times New Roman" w:hAnsi="Times New Roman" w:eastAsia="宋体" w:cs="Times New Roman"/>
                <w:color w:val="auto"/>
                <w:sz w:val="18"/>
                <w:szCs w:val="18"/>
              </w:rPr>
              <w:t>第三章</w:t>
            </w:r>
          </w:p>
        </w:tc>
        <w:tc>
          <w:tcPr>
            <w:tcW w:w="8359" w:type="dxa"/>
            <w:tcBorders>
              <w:top w:val="single" w:color="auto" w:sz="4" w:space="0"/>
              <w:bottom w:val="single" w:color="auto" w:sz="12" w:space="0"/>
            </w:tcBorders>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具体要求按</w:t>
            </w:r>
            <w:r>
              <w:rPr>
                <w:rFonts w:ascii="Times New Roman" w:hAnsi="Times New Roman" w:eastAsia="Times New Roman" w:cs="Times New Roman"/>
                <w:color w:val="auto"/>
                <w:sz w:val="18"/>
                <w:szCs w:val="18"/>
                <w:lang w:val="en-US" w:eastAsia="zh-CN" w:bidi="en-US"/>
              </w:rPr>
              <w:t>TSG D7004—</w:t>
            </w:r>
            <w:r>
              <w:rPr>
                <w:rFonts w:ascii="Times New Roman" w:hAnsi="Times New Roman" w:eastAsia="Times New Roman" w:cs="Times New Roman"/>
                <w:color w:val="auto"/>
                <w:sz w:val="18"/>
                <w:szCs w:val="18"/>
              </w:rPr>
              <w:t>2010</w:t>
            </w:r>
            <w:r>
              <w:rPr>
                <w:rFonts w:ascii="Times New Roman" w:hAnsi="Times New Roman" w:cs="Times New Roman"/>
                <w:color w:val="auto"/>
                <w:sz w:val="18"/>
                <w:szCs w:val="18"/>
              </w:rPr>
              <w:t>执行。</w:t>
            </w:r>
          </w:p>
        </w:tc>
      </w:tr>
    </w:tbl>
    <w:p>
      <w:pPr>
        <w:snapToGrid w:val="0"/>
        <w:rPr>
          <w:rFonts w:ascii="Times New Roman" w:hAnsi="Times New Roman" w:eastAsia="宋体" w:cs="Times New Roman"/>
          <w:color w:val="auto"/>
          <w:sz w:val="18"/>
          <w:szCs w:val="18"/>
        </w:rPr>
        <w:sectPr>
          <w:headerReference r:id="rId19" w:type="default"/>
          <w:headerReference r:id="rId20" w:type="even"/>
          <w:pgSz w:w="16840" w:h="11900" w:orient="landscape"/>
          <w:pgMar w:top="1134" w:right="1134" w:bottom="1134" w:left="1134" w:header="851" w:footer="851" w:gutter="0"/>
          <w:pgNumType w:fmt="numberInDash"/>
          <w:cols w:space="720" w:num="1"/>
          <w:docGrid w:linePitch="360" w:charSpace="0"/>
        </w:sectPr>
      </w:pPr>
    </w:p>
    <w:p>
      <w:pPr>
        <w:pStyle w:val="10"/>
        <w:snapToGrid w:val="0"/>
        <w:spacing w:line="240" w:lineRule="auto"/>
        <w:jc w:val="center"/>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rPr>
        <w:t>附表1  公用(燃气)管道经常性维护保养记录表格式</w:t>
      </w:r>
    </w:p>
    <w:tbl>
      <w:tblPr>
        <w:tblStyle w:val="8"/>
        <w:tblW w:w="956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41"/>
        <w:gridCol w:w="892"/>
        <w:gridCol w:w="5414"/>
        <w:gridCol w:w="1065"/>
        <w:gridCol w:w="9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2133"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管线号</w:t>
            </w:r>
          </w:p>
        </w:tc>
        <w:tc>
          <w:tcPr>
            <w:tcW w:w="7428" w:type="dxa"/>
            <w:gridSpan w:val="3"/>
            <w:shd w:val="clear" w:color="auto" w:fill="FFFFFF"/>
            <w:noWrap/>
            <w:vAlign w:val="center"/>
          </w:tcPr>
          <w:p>
            <w:pPr>
              <w:snapToGrid w:val="0"/>
              <w:jc w:val="center"/>
              <w:rPr>
                <w:rFonts w:ascii="Times New Roman" w:hAnsi="Times New Roman" w:eastAsia="黑体" w:cs="Times New Roman"/>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2133"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注册编号</w:t>
            </w:r>
          </w:p>
        </w:tc>
        <w:tc>
          <w:tcPr>
            <w:tcW w:w="7428" w:type="dxa"/>
            <w:gridSpan w:val="3"/>
            <w:shd w:val="clear" w:color="auto" w:fill="FFFFFF"/>
            <w:noWrap/>
            <w:vAlign w:val="center"/>
          </w:tcPr>
          <w:p>
            <w:pPr>
              <w:snapToGrid w:val="0"/>
              <w:jc w:val="center"/>
              <w:rPr>
                <w:rFonts w:ascii="Times New Roman" w:hAnsi="Times New Roman" w:eastAsia="黑体" w:cs="Times New Roman"/>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1241"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检查项目</w:t>
            </w:r>
          </w:p>
        </w:tc>
        <w:tc>
          <w:tcPr>
            <w:tcW w:w="892"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桩号</w:t>
            </w:r>
          </w:p>
        </w:tc>
        <w:tc>
          <w:tcPr>
            <w:tcW w:w="5414"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检查内容</w:t>
            </w:r>
          </w:p>
        </w:tc>
        <w:tc>
          <w:tcPr>
            <w:tcW w:w="1065"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检查结果</w:t>
            </w:r>
          </w:p>
        </w:tc>
        <w:tc>
          <w:tcPr>
            <w:tcW w:w="949"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问题记录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334" w:hRule="exact"/>
          <w:jc w:val="center"/>
        </w:trPr>
        <w:tc>
          <w:tcPr>
            <w:tcW w:w="124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安全距离</w:t>
            </w:r>
          </w:p>
        </w:tc>
        <w:tc>
          <w:tcPr>
            <w:tcW w:w="8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ign w:val="center"/>
          </w:tcPr>
          <w:p>
            <w:pPr>
              <w:pStyle w:val="11"/>
              <w:snapToGrid w:val="0"/>
              <w:ind w:firstLine="0"/>
              <w:rPr>
                <w:rFonts w:ascii="Times New Roman" w:hAnsi="Times New Roman" w:cs="Times New Roman"/>
                <w:color w:val="auto"/>
                <w:sz w:val="18"/>
                <w:szCs w:val="18"/>
                <w:lang w:eastAsia="zh-CN"/>
              </w:rPr>
            </w:pPr>
            <w:r>
              <w:rPr>
                <w:rFonts w:ascii="Times New Roman" w:hAnsi="Times New Roman" w:cs="Times New Roman"/>
                <w:color w:val="auto"/>
                <w:sz w:val="18"/>
                <w:szCs w:val="18"/>
              </w:rPr>
              <w:t>在燃气管道设施的安全保护范围内不应有土壤塌陷、滑坡、下沉、人工取土、堆积垃圾或重物、管道裸露、种植深根植物及搭建建(构)筑物等</w:t>
            </w:r>
          </w:p>
        </w:tc>
        <w:tc>
          <w:tcPr>
            <w:tcW w:w="1065" w:type="dxa"/>
            <w:shd w:val="clear" w:color="auto" w:fill="FFFFFF"/>
            <w:noWrap/>
            <w:vAlign w:val="top"/>
          </w:tcPr>
          <w:p>
            <w:pPr>
              <w:snapToGrid w:val="0"/>
              <w:rPr>
                <w:rFonts w:ascii="Times New Roman" w:hAnsi="Times New Roman" w:cs="Times New Roman"/>
                <w:color w:val="auto"/>
                <w:sz w:val="18"/>
                <w:szCs w:val="18"/>
              </w:rPr>
            </w:pPr>
          </w:p>
        </w:tc>
        <w:tc>
          <w:tcPr>
            <w:tcW w:w="949"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411" w:hRule="exact"/>
          <w:jc w:val="center"/>
        </w:trPr>
        <w:tc>
          <w:tcPr>
            <w:tcW w:w="124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泄漏</w:t>
            </w:r>
          </w:p>
        </w:tc>
        <w:tc>
          <w:tcPr>
            <w:tcW w:w="8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ign w:val="center"/>
          </w:tcPr>
          <w:p>
            <w:pPr>
              <w:pStyle w:val="11"/>
              <w:snapToGrid w:val="0"/>
              <w:ind w:firstLine="0"/>
              <w:rPr>
                <w:rFonts w:ascii="Times New Roman" w:hAnsi="Times New Roman" w:cs="Times New Roman"/>
                <w:color w:val="auto"/>
                <w:sz w:val="18"/>
                <w:szCs w:val="18"/>
              </w:rPr>
            </w:pPr>
            <w:r>
              <w:rPr>
                <w:rFonts w:ascii="Times New Roman" w:hAnsi="Times New Roman" w:cs="Times New Roman"/>
                <w:color w:val="auto"/>
                <w:sz w:val="18"/>
                <w:szCs w:val="18"/>
              </w:rPr>
              <w:t>管道沿线不应有燃气异味、水面冒泡、树草枯萎和积雪表面有黄斑等异常现象或燃气泄出声响等；有上述现象发生时，应查明原因并及时处理</w:t>
            </w:r>
          </w:p>
        </w:tc>
        <w:tc>
          <w:tcPr>
            <w:tcW w:w="1065" w:type="dxa"/>
            <w:shd w:val="clear" w:color="auto" w:fill="FFFFFF"/>
            <w:noWrap/>
            <w:vAlign w:val="top"/>
          </w:tcPr>
          <w:p>
            <w:pPr>
              <w:snapToGrid w:val="0"/>
              <w:rPr>
                <w:rFonts w:ascii="Times New Roman" w:hAnsi="Times New Roman" w:cs="Times New Roman"/>
                <w:color w:val="auto"/>
                <w:sz w:val="18"/>
                <w:szCs w:val="18"/>
              </w:rPr>
            </w:pPr>
          </w:p>
        </w:tc>
        <w:tc>
          <w:tcPr>
            <w:tcW w:w="949"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133" w:hRule="exact"/>
          <w:jc w:val="center"/>
        </w:trPr>
        <w:tc>
          <w:tcPr>
            <w:tcW w:w="1241" w:type="dxa"/>
            <w:shd w:val="clear" w:color="auto" w:fill="FFFFFF"/>
            <w:noWrap/>
            <w:vAlign w:val="center"/>
          </w:tcPr>
          <w:p>
            <w:pPr>
              <w:pStyle w:val="11"/>
              <w:snapToGrid w:val="0"/>
              <w:ind w:firstLine="0"/>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特殊管段</w:t>
            </w:r>
          </w:p>
        </w:tc>
        <w:tc>
          <w:tcPr>
            <w:tcW w:w="8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ign w:val="center"/>
          </w:tcPr>
          <w:p>
            <w:pPr>
              <w:pStyle w:val="11"/>
              <w:snapToGrid w:val="0"/>
              <w:ind w:firstLine="0"/>
              <w:rPr>
                <w:rFonts w:ascii="Times New Roman" w:hAnsi="Times New Roman" w:cs="Times New Roman"/>
                <w:color w:val="auto"/>
                <w:sz w:val="18"/>
                <w:szCs w:val="18"/>
              </w:rPr>
            </w:pPr>
            <w:r>
              <w:rPr>
                <w:rFonts w:ascii="Times New Roman" w:hAnsi="Times New Roman" w:cs="Times New Roman"/>
                <w:color w:val="auto"/>
                <w:sz w:val="18"/>
                <w:szCs w:val="18"/>
              </w:rPr>
              <w:t>对穿越跨越处、斜坡等特殊地段的管道，在暴雨、大风或其他恶劣天气过后应及时巡查</w:t>
            </w:r>
          </w:p>
        </w:tc>
        <w:tc>
          <w:tcPr>
            <w:tcW w:w="1065" w:type="dxa"/>
            <w:shd w:val="clear" w:color="auto" w:fill="FFFFFF"/>
            <w:noWrap/>
            <w:vAlign w:val="top"/>
          </w:tcPr>
          <w:p>
            <w:pPr>
              <w:snapToGrid w:val="0"/>
              <w:rPr>
                <w:rFonts w:ascii="Times New Roman" w:hAnsi="Times New Roman" w:cs="Times New Roman"/>
                <w:color w:val="auto"/>
                <w:sz w:val="18"/>
                <w:szCs w:val="18"/>
              </w:rPr>
            </w:pPr>
          </w:p>
        </w:tc>
        <w:tc>
          <w:tcPr>
            <w:tcW w:w="949"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122" w:hRule="exact"/>
          <w:jc w:val="center"/>
        </w:trPr>
        <w:tc>
          <w:tcPr>
            <w:tcW w:w="124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其他施工</w:t>
            </w:r>
          </w:p>
        </w:tc>
        <w:tc>
          <w:tcPr>
            <w:tcW w:w="8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ign w:val="center"/>
          </w:tcPr>
          <w:p>
            <w:pPr>
              <w:pStyle w:val="11"/>
              <w:snapToGrid w:val="0"/>
              <w:ind w:firstLine="0"/>
              <w:rPr>
                <w:rFonts w:ascii="Times New Roman" w:hAnsi="Times New Roman" w:cs="Times New Roman"/>
                <w:color w:val="auto"/>
                <w:sz w:val="18"/>
                <w:szCs w:val="18"/>
                <w:lang w:eastAsia="zh-CN"/>
              </w:rPr>
            </w:pPr>
            <w:r>
              <w:rPr>
                <w:rFonts w:ascii="Times New Roman" w:hAnsi="Times New Roman" w:cs="Times New Roman"/>
                <w:color w:val="auto"/>
                <w:sz w:val="18"/>
                <w:szCs w:val="18"/>
              </w:rPr>
              <w:t>在燃气管道安全保护范围内的施工，其施工单位在开工前应向城镇燃气供应单位申请现场安全监护。对有可能影响燃气管线安全运行的施工现场,应加强燃气管线的巡查与现场监护，可设立临时警示标志；施工过程中造成燃气管道损坏、管道悬空等，应及时采取有效的保护措施</w:t>
            </w:r>
          </w:p>
        </w:tc>
        <w:tc>
          <w:tcPr>
            <w:tcW w:w="1065" w:type="dxa"/>
            <w:shd w:val="clear" w:color="auto" w:fill="FFFFFF"/>
            <w:noWrap/>
            <w:vAlign w:val="top"/>
          </w:tcPr>
          <w:p>
            <w:pPr>
              <w:pStyle w:val="12"/>
              <w:snapToGrid w:val="0"/>
              <w:rPr>
                <w:rFonts w:ascii="Times New Roman" w:hAnsi="Times New Roman" w:cs="Times New Roman"/>
                <w:color w:val="auto"/>
                <w:sz w:val="18"/>
                <w:szCs w:val="18"/>
              </w:rPr>
            </w:pPr>
          </w:p>
        </w:tc>
        <w:tc>
          <w:tcPr>
            <w:tcW w:w="949" w:type="dxa"/>
            <w:shd w:val="clear" w:color="auto" w:fill="FFFFFF"/>
            <w:noWrap/>
            <w:vAlign w:val="top"/>
          </w:tcPr>
          <w:p>
            <w:pPr>
              <w:pStyle w:val="12"/>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560" w:hRule="exact"/>
          <w:jc w:val="center"/>
        </w:trPr>
        <w:tc>
          <w:tcPr>
            <w:tcW w:w="124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管道附件</w:t>
            </w:r>
          </w:p>
        </w:tc>
        <w:tc>
          <w:tcPr>
            <w:tcW w:w="8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ign w:val="center"/>
          </w:tcPr>
          <w:p>
            <w:pPr>
              <w:pStyle w:val="12"/>
              <w:snapToGrid w:val="0"/>
              <w:rPr>
                <w:rFonts w:ascii="Times New Roman" w:hAnsi="Times New Roman" w:cs="Times New Roman"/>
                <w:color w:val="auto"/>
                <w:sz w:val="18"/>
                <w:szCs w:val="18"/>
              </w:rPr>
            </w:pPr>
            <w:r>
              <w:rPr>
                <w:rFonts w:ascii="Times New Roman" w:hAnsi="Times New Roman" w:cs="Times New Roman"/>
                <w:color w:val="auto"/>
                <w:sz w:val="18"/>
                <w:szCs w:val="18"/>
              </w:rPr>
              <w:t>对燃气管道附件丢失或损坏，应及时修复</w:t>
            </w:r>
          </w:p>
          <w:p>
            <w:pPr>
              <w:pStyle w:val="10"/>
              <w:snapToGrid w:val="0"/>
              <w:spacing w:line="240" w:lineRule="auto"/>
              <w:rPr>
                <w:rFonts w:ascii="Times New Roman" w:hAnsi="Times New Roman" w:cs="Times New Roman"/>
                <w:color w:val="auto"/>
                <w:sz w:val="18"/>
                <w:szCs w:val="18"/>
              </w:rPr>
            </w:pPr>
          </w:p>
        </w:tc>
        <w:tc>
          <w:tcPr>
            <w:tcW w:w="1065" w:type="dxa"/>
            <w:shd w:val="clear" w:color="auto" w:fill="FFFFFF"/>
            <w:noWrap/>
            <w:vAlign w:val="top"/>
          </w:tcPr>
          <w:p>
            <w:pPr>
              <w:pStyle w:val="12"/>
              <w:snapToGrid w:val="0"/>
              <w:rPr>
                <w:rFonts w:ascii="Times New Roman" w:hAnsi="Times New Roman" w:cs="Times New Roman"/>
                <w:color w:val="auto"/>
                <w:sz w:val="18"/>
                <w:szCs w:val="18"/>
              </w:rPr>
            </w:pPr>
          </w:p>
        </w:tc>
        <w:tc>
          <w:tcPr>
            <w:tcW w:w="949" w:type="dxa"/>
            <w:shd w:val="clear" w:color="auto" w:fill="FFFFFF"/>
            <w:noWrap/>
            <w:vAlign w:val="top"/>
          </w:tcPr>
          <w:p>
            <w:pPr>
              <w:pStyle w:val="12"/>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49" w:hRule="exact"/>
          <w:jc w:val="center"/>
        </w:trPr>
        <w:tc>
          <w:tcPr>
            <w:tcW w:w="1241" w:type="dxa"/>
            <w:shd w:val="clear" w:color="auto" w:fill="FFFFFF"/>
            <w:noWrap/>
            <w:vAlign w:val="center"/>
          </w:tcPr>
          <w:p>
            <w:pPr>
              <w:pStyle w:val="12"/>
              <w:snapToGrid w:val="0"/>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架空管段</w:t>
            </w:r>
          </w:p>
        </w:tc>
        <w:tc>
          <w:tcPr>
            <w:tcW w:w="8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ign w:val="center"/>
          </w:tcPr>
          <w:p>
            <w:pPr>
              <w:pStyle w:val="12"/>
              <w:snapToGrid w:val="0"/>
              <w:rPr>
                <w:rFonts w:ascii="Times New Roman" w:hAnsi="Times New Roman" w:cs="Times New Roman"/>
                <w:color w:val="auto"/>
                <w:sz w:val="18"/>
                <w:szCs w:val="18"/>
                <w:lang w:eastAsia="zh-CN"/>
              </w:rPr>
            </w:pPr>
            <w:r>
              <w:rPr>
                <w:rFonts w:ascii="Times New Roman" w:hAnsi="Times New Roman" w:cs="Times New Roman"/>
                <w:color w:val="auto"/>
                <w:sz w:val="18"/>
                <w:szCs w:val="18"/>
              </w:rPr>
              <w:t>支吊架是否完好、管道外防腐情况</w:t>
            </w:r>
          </w:p>
        </w:tc>
        <w:tc>
          <w:tcPr>
            <w:tcW w:w="1065" w:type="dxa"/>
            <w:shd w:val="clear" w:color="auto" w:fill="FFFFFF"/>
            <w:noWrap/>
            <w:vAlign w:val="top"/>
          </w:tcPr>
          <w:p>
            <w:pPr>
              <w:pStyle w:val="12"/>
              <w:snapToGrid w:val="0"/>
              <w:rPr>
                <w:rFonts w:ascii="Times New Roman" w:hAnsi="Times New Roman" w:cs="Times New Roman"/>
                <w:color w:val="auto"/>
                <w:sz w:val="18"/>
                <w:szCs w:val="18"/>
              </w:rPr>
            </w:pPr>
          </w:p>
        </w:tc>
        <w:tc>
          <w:tcPr>
            <w:tcW w:w="949" w:type="dxa"/>
            <w:shd w:val="clear" w:color="auto" w:fill="FFFFFF"/>
            <w:noWrap/>
            <w:vAlign w:val="top"/>
          </w:tcPr>
          <w:p>
            <w:pPr>
              <w:pStyle w:val="12"/>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62" w:hRule="exact"/>
          <w:jc w:val="center"/>
        </w:trPr>
        <w:tc>
          <w:tcPr>
            <w:tcW w:w="1241" w:type="dxa"/>
            <w:shd w:val="clear" w:color="auto" w:fill="FFFFFF"/>
            <w:noWrap/>
            <w:vAlign w:val="center"/>
          </w:tcPr>
          <w:p>
            <w:pPr>
              <w:pStyle w:val="12"/>
              <w:snapToGrid w:val="0"/>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管道标志</w:t>
            </w:r>
          </w:p>
        </w:tc>
        <w:tc>
          <w:tcPr>
            <w:tcW w:w="8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ign w:val="center"/>
          </w:tcPr>
          <w:p>
            <w:pPr>
              <w:pStyle w:val="12"/>
              <w:snapToGrid w:val="0"/>
              <w:rPr>
                <w:rFonts w:ascii="Times New Roman" w:hAnsi="Times New Roman" w:cs="Times New Roman"/>
                <w:color w:val="auto"/>
                <w:sz w:val="18"/>
                <w:szCs w:val="18"/>
                <w:lang w:eastAsia="zh-CN"/>
              </w:rPr>
            </w:pPr>
            <w:r>
              <w:rPr>
                <w:rFonts w:ascii="Times New Roman" w:hAnsi="Times New Roman" w:cs="Times New Roman"/>
                <w:color w:val="auto"/>
                <w:sz w:val="18"/>
                <w:szCs w:val="18"/>
              </w:rPr>
              <w:t>移动、毁损、涂改、丢失管道标志</w:t>
            </w:r>
          </w:p>
        </w:tc>
        <w:tc>
          <w:tcPr>
            <w:tcW w:w="1065" w:type="dxa"/>
            <w:shd w:val="clear" w:color="auto" w:fill="FFFFFF"/>
            <w:noWrap/>
            <w:vAlign w:val="top"/>
          </w:tcPr>
          <w:p>
            <w:pPr>
              <w:pStyle w:val="12"/>
              <w:snapToGrid w:val="0"/>
              <w:rPr>
                <w:rFonts w:ascii="Times New Roman" w:hAnsi="Times New Roman" w:cs="Times New Roman"/>
                <w:color w:val="auto"/>
                <w:sz w:val="18"/>
                <w:szCs w:val="18"/>
              </w:rPr>
            </w:pPr>
          </w:p>
        </w:tc>
        <w:tc>
          <w:tcPr>
            <w:tcW w:w="949" w:type="dxa"/>
            <w:shd w:val="clear" w:color="auto" w:fill="FFFFFF"/>
            <w:noWrap/>
            <w:vAlign w:val="top"/>
          </w:tcPr>
          <w:p>
            <w:pPr>
              <w:pStyle w:val="12"/>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45" w:hRule="exact"/>
          <w:jc w:val="center"/>
        </w:trPr>
        <w:tc>
          <w:tcPr>
            <w:tcW w:w="1241" w:type="dxa"/>
            <w:shd w:val="clear" w:color="auto" w:fill="FFFFFF"/>
            <w:noWrap/>
            <w:vAlign w:val="center"/>
          </w:tcPr>
          <w:p>
            <w:pPr>
              <w:pStyle w:val="12"/>
              <w:snapToGrid w:val="0"/>
              <w:jc w:val="center"/>
              <w:rPr>
                <w:rFonts w:ascii="Times New Roman" w:hAnsi="Times New Roman" w:cs="Times New Roman"/>
                <w:color w:val="auto"/>
              </w:rPr>
            </w:pPr>
            <w:r>
              <w:rPr>
                <w:rFonts w:ascii="Times New Roman" w:hAnsi="Times New Roman" w:cs="Times New Roman"/>
                <w:color w:val="auto"/>
                <w:sz w:val="18"/>
                <w:szCs w:val="18"/>
              </w:rPr>
              <w:t>其他</w:t>
            </w:r>
          </w:p>
        </w:tc>
        <w:tc>
          <w:tcPr>
            <w:tcW w:w="892" w:type="dxa"/>
            <w:shd w:val="clear" w:color="auto" w:fill="FFFFFF"/>
            <w:noWrap/>
            <w:vAlign w:val="top"/>
          </w:tcPr>
          <w:p>
            <w:pPr>
              <w:jc w:val="center"/>
              <w:rPr>
                <w:rFonts w:ascii="Times New Roman" w:hAnsi="Times New Roman" w:eastAsia="宋体" w:cs="Times New Roman"/>
                <w:color w:val="auto"/>
              </w:rPr>
            </w:pPr>
          </w:p>
        </w:tc>
        <w:tc>
          <w:tcPr>
            <w:tcW w:w="5414" w:type="dxa"/>
            <w:shd w:val="clear" w:color="auto" w:fill="FFFFFF"/>
            <w:noWrap/>
            <w:vAlign w:val="top"/>
          </w:tcPr>
          <w:p>
            <w:pPr>
              <w:rPr>
                <w:rFonts w:ascii="Times New Roman" w:hAnsi="Times New Roman" w:eastAsia="宋体" w:cs="Times New Roman"/>
                <w:color w:val="auto"/>
              </w:rPr>
            </w:pPr>
          </w:p>
        </w:tc>
        <w:tc>
          <w:tcPr>
            <w:tcW w:w="1065" w:type="dxa"/>
            <w:shd w:val="clear" w:color="auto" w:fill="FFFFFF"/>
            <w:noWrap/>
            <w:vAlign w:val="top"/>
          </w:tcPr>
          <w:p>
            <w:pPr>
              <w:pStyle w:val="12"/>
              <w:snapToGrid w:val="0"/>
              <w:rPr>
                <w:rFonts w:ascii="Times New Roman" w:hAnsi="Times New Roman" w:cs="Times New Roman"/>
                <w:color w:val="auto"/>
                <w:sz w:val="18"/>
                <w:szCs w:val="18"/>
              </w:rPr>
            </w:pPr>
          </w:p>
        </w:tc>
        <w:tc>
          <w:tcPr>
            <w:tcW w:w="949" w:type="dxa"/>
            <w:shd w:val="clear" w:color="auto" w:fill="FFFFFF"/>
            <w:noWrap/>
            <w:vAlign w:val="top"/>
          </w:tcPr>
          <w:p>
            <w:pPr>
              <w:pStyle w:val="12"/>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14" w:hRule="exact"/>
          <w:jc w:val="center"/>
        </w:trPr>
        <w:tc>
          <w:tcPr>
            <w:tcW w:w="2133" w:type="dxa"/>
            <w:gridSpan w:val="2"/>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检查人员</w:t>
            </w:r>
          </w:p>
        </w:tc>
        <w:tc>
          <w:tcPr>
            <w:tcW w:w="5414" w:type="dxa"/>
            <w:shd w:val="clear" w:color="auto" w:fill="FFFFFF"/>
            <w:noWrap/>
            <w:vAlign w:val="center"/>
          </w:tcPr>
          <w:p>
            <w:pPr>
              <w:snapToGrid w:val="0"/>
              <w:rPr>
                <w:rFonts w:ascii="Times New Roman" w:hAnsi="Times New Roman" w:cs="Times New Roman"/>
                <w:color w:val="auto"/>
                <w:sz w:val="18"/>
                <w:szCs w:val="18"/>
              </w:rPr>
            </w:pPr>
          </w:p>
        </w:tc>
        <w:tc>
          <w:tcPr>
            <w:tcW w:w="2014"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日期：</w:t>
            </w:r>
          </w:p>
        </w:tc>
      </w:tr>
    </w:tbl>
    <w:p>
      <w:pPr>
        <w:pStyle w:val="12"/>
        <w:snapToGrid w:val="0"/>
        <w:rPr>
          <w:rFonts w:ascii="Times New Roman" w:hAnsi="Times New Roman" w:cs="Times New Roman"/>
          <w:color w:val="auto"/>
          <w:sz w:val="18"/>
          <w:szCs w:val="18"/>
        </w:rPr>
      </w:pPr>
      <w:r>
        <w:rPr>
          <w:rFonts w:ascii="Times New Roman" w:hAnsi="Times New Roman" w:cs="Times New Roman"/>
          <w:color w:val="auto"/>
          <w:sz w:val="18"/>
          <w:szCs w:val="18"/>
        </w:rPr>
        <w:t>注：</w:t>
      </w:r>
      <w:r>
        <w:rPr>
          <w:rFonts w:ascii="Times New Roman" w:hAnsi="Times New Roman" w:eastAsia="Times New Roman" w:cs="Times New Roman"/>
          <w:color w:val="auto"/>
          <w:sz w:val="18"/>
          <w:szCs w:val="18"/>
          <w:lang w:val="en-US" w:eastAsia="zh-CN" w:bidi="en-US"/>
        </w:rPr>
        <w:t>1.</w:t>
      </w:r>
      <w:r>
        <w:rPr>
          <w:rFonts w:ascii="Times New Roman" w:hAnsi="Times New Roman" w:cs="Times New Roman"/>
          <w:color w:val="auto"/>
          <w:sz w:val="18"/>
          <w:szCs w:val="18"/>
        </w:rPr>
        <w:t>本记录表为建议表格，使用单位可根据本单位实际情况或须巡线的内容重新制定表格。</w:t>
      </w:r>
    </w:p>
    <w:p>
      <w:pPr>
        <w:pStyle w:val="12"/>
        <w:snapToGrid w:val="0"/>
        <w:ind w:firstLine="360" w:firstLineChars="200"/>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zh-CN" w:bidi="en-US"/>
        </w:rPr>
        <w:t>2.</w:t>
      </w:r>
      <w:r>
        <w:rPr>
          <w:rFonts w:ascii="Times New Roman" w:hAnsi="Times New Roman" w:cs="Times New Roman"/>
          <w:color w:val="auto"/>
          <w:sz w:val="18"/>
          <w:szCs w:val="18"/>
        </w:rPr>
        <w:t>巡线项目和内容可根据使用单位实际情况作出调整。</w:t>
      </w:r>
    </w:p>
    <w:p>
      <w:pPr>
        <w:pStyle w:val="10"/>
        <w:snapToGrid w:val="0"/>
        <w:spacing w:line="240" w:lineRule="auto"/>
        <w:jc w:val="center"/>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附表2  公用(燃气)管道定期检测、维修和维护记录表格式</w:t>
      </w:r>
    </w:p>
    <w:tbl>
      <w:tblPr>
        <w:tblStyle w:val="8"/>
        <w:tblW w:w="94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125"/>
        <w:gridCol w:w="892"/>
        <w:gridCol w:w="5414"/>
        <w:gridCol w:w="1065"/>
        <w:gridCol w:w="9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2017"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管线号</w:t>
            </w:r>
          </w:p>
        </w:tc>
        <w:tc>
          <w:tcPr>
            <w:tcW w:w="7428" w:type="dxa"/>
            <w:gridSpan w:val="3"/>
            <w:shd w:val="clear" w:color="auto" w:fill="FFFFFF"/>
            <w:noWrap/>
            <w:vAlign w:val="center"/>
          </w:tcPr>
          <w:p>
            <w:pPr>
              <w:snapToGrid w:val="0"/>
              <w:jc w:val="center"/>
              <w:rPr>
                <w:rFonts w:ascii="Times New Roman" w:hAnsi="Times New Roman" w:eastAsia="黑体" w:cs="Times New Roman"/>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2017"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注册编号</w:t>
            </w:r>
          </w:p>
        </w:tc>
        <w:tc>
          <w:tcPr>
            <w:tcW w:w="7428" w:type="dxa"/>
            <w:gridSpan w:val="3"/>
            <w:shd w:val="clear" w:color="auto" w:fill="FFFFFF"/>
            <w:noWrap/>
            <w:vAlign w:val="center"/>
          </w:tcPr>
          <w:p>
            <w:pPr>
              <w:snapToGrid w:val="0"/>
              <w:jc w:val="center"/>
              <w:rPr>
                <w:rFonts w:ascii="Times New Roman" w:hAnsi="Times New Roman" w:eastAsia="黑体" w:cs="Times New Roman"/>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1125"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检查项目</w:t>
            </w:r>
          </w:p>
        </w:tc>
        <w:tc>
          <w:tcPr>
            <w:tcW w:w="892"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检查时间</w:t>
            </w:r>
          </w:p>
        </w:tc>
        <w:tc>
          <w:tcPr>
            <w:tcW w:w="5414"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rPr>
              <w:t>检查内容</w:t>
            </w:r>
          </w:p>
        </w:tc>
        <w:tc>
          <w:tcPr>
            <w:tcW w:w="1065"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检查结果</w:t>
            </w:r>
          </w:p>
        </w:tc>
        <w:tc>
          <w:tcPr>
            <w:tcW w:w="949"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问题记录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177" w:hRule="exact"/>
          <w:jc w:val="center"/>
        </w:trPr>
        <w:tc>
          <w:tcPr>
            <w:tcW w:w="112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泄漏检查</w:t>
            </w:r>
          </w:p>
        </w:tc>
        <w:tc>
          <w:tcPr>
            <w:tcW w:w="892" w:type="dxa"/>
            <w:shd w:val="clear" w:color="auto" w:fill="FFFFFF"/>
            <w:noWrap/>
            <w:vAlign w:val="top"/>
          </w:tcPr>
          <w:p>
            <w:pPr>
              <w:snapToGrid w:val="0"/>
              <w:rPr>
                <w:rFonts w:ascii="Times New Roman" w:hAnsi="Times New Roman" w:cs="Times New Roman"/>
                <w:color w:val="auto"/>
                <w:sz w:val="18"/>
                <w:szCs w:val="18"/>
              </w:rPr>
            </w:pPr>
          </w:p>
        </w:tc>
        <w:tc>
          <w:tcPr>
            <w:tcW w:w="541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泄漏检查可采用仪器检测或地面钻孔检测，可沿管道方向和从管道附近的阀门井、窨井或地沟等地上(下)建(构)筑物检测</w:t>
            </w:r>
          </w:p>
        </w:tc>
        <w:tc>
          <w:tcPr>
            <w:tcW w:w="1065" w:type="dxa"/>
            <w:shd w:val="clear" w:color="auto" w:fill="FFFFFF"/>
            <w:noWrap/>
            <w:vAlign w:val="top"/>
          </w:tcPr>
          <w:p>
            <w:pPr>
              <w:snapToGrid w:val="0"/>
              <w:rPr>
                <w:rFonts w:ascii="Times New Roman" w:hAnsi="Times New Roman" w:cs="Times New Roman"/>
                <w:color w:val="auto"/>
                <w:sz w:val="18"/>
                <w:szCs w:val="18"/>
              </w:rPr>
            </w:pPr>
          </w:p>
        </w:tc>
        <w:tc>
          <w:tcPr>
            <w:tcW w:w="949"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411" w:hRule="exact"/>
          <w:jc w:val="center"/>
        </w:trPr>
        <w:tc>
          <w:tcPr>
            <w:tcW w:w="1125"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阴极保护系统</w:t>
            </w:r>
          </w:p>
        </w:tc>
        <w:tc>
          <w:tcPr>
            <w:tcW w:w="8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牺牲阳极阴极保护系统应对阳极开路电位、阳极闭路电位、管道保护电压、管道开路电位、单支阳极输出电流、组合阳极联合输出电流、单支阳极接地电阻、组合阳极接地电阻、埋设点的土壤电阻率等参数进行测试</w:t>
            </w:r>
          </w:p>
        </w:tc>
        <w:tc>
          <w:tcPr>
            <w:tcW w:w="1065" w:type="dxa"/>
            <w:shd w:val="clear" w:color="auto" w:fill="FFFFFF"/>
            <w:noWrap/>
            <w:vAlign w:val="top"/>
          </w:tcPr>
          <w:p>
            <w:pPr>
              <w:snapToGrid w:val="0"/>
              <w:rPr>
                <w:rFonts w:ascii="Times New Roman" w:hAnsi="Times New Roman" w:cs="Times New Roman"/>
                <w:color w:val="auto"/>
                <w:sz w:val="18"/>
                <w:szCs w:val="18"/>
              </w:rPr>
            </w:pPr>
          </w:p>
        </w:tc>
        <w:tc>
          <w:tcPr>
            <w:tcW w:w="949"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271" w:hRule="exact"/>
          <w:jc w:val="center"/>
        </w:trPr>
        <w:tc>
          <w:tcPr>
            <w:tcW w:w="1125" w:type="dxa"/>
            <w:vMerge w:val="continue"/>
            <w:shd w:val="clear" w:color="auto" w:fill="FFFFFF"/>
            <w:noWrap/>
            <w:vAlign w:val="center"/>
          </w:tcPr>
          <w:p>
            <w:pPr>
              <w:pStyle w:val="11"/>
              <w:snapToGrid w:val="0"/>
              <w:ind w:firstLine="0"/>
              <w:jc w:val="center"/>
              <w:rPr>
                <w:rFonts w:ascii="Times New Roman" w:hAnsi="Times New Roman" w:cs="Times New Roman"/>
                <w:color w:val="auto"/>
                <w:sz w:val="18"/>
                <w:szCs w:val="18"/>
                <w:lang w:eastAsia="zh-CN"/>
              </w:rPr>
            </w:pPr>
          </w:p>
        </w:tc>
        <w:tc>
          <w:tcPr>
            <w:tcW w:w="8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外加电流阴极保护系统应对管道沿线土壤电阻率、管道自然腐蚀电位、辅助阳极接地电阻、辅助阳极埋设点的土壤电阻率、绝缘装置的绝缘性能、管道保护电位、管道保护电流、电源输出电流、电压等参数进行测试</w:t>
            </w:r>
          </w:p>
        </w:tc>
        <w:tc>
          <w:tcPr>
            <w:tcW w:w="1065" w:type="dxa"/>
            <w:shd w:val="clear" w:color="auto" w:fill="FFFFFF"/>
            <w:noWrap/>
            <w:vAlign w:val="top"/>
          </w:tcPr>
          <w:p>
            <w:pPr>
              <w:snapToGrid w:val="0"/>
              <w:rPr>
                <w:rFonts w:ascii="Times New Roman" w:hAnsi="Times New Roman" w:cs="Times New Roman"/>
                <w:color w:val="auto"/>
                <w:sz w:val="18"/>
                <w:szCs w:val="18"/>
              </w:rPr>
            </w:pPr>
          </w:p>
        </w:tc>
        <w:tc>
          <w:tcPr>
            <w:tcW w:w="949"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22" w:hRule="exact"/>
          <w:jc w:val="center"/>
        </w:trPr>
        <w:tc>
          <w:tcPr>
            <w:tcW w:w="112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电绝缘装置</w:t>
            </w:r>
          </w:p>
        </w:tc>
        <w:tc>
          <w:tcPr>
            <w:tcW w:w="1065" w:type="dxa"/>
            <w:shd w:val="clear" w:color="auto" w:fill="FFFFFF"/>
            <w:noWrap/>
            <w:vAlign w:val="top"/>
          </w:tcPr>
          <w:p>
            <w:pPr>
              <w:pStyle w:val="12"/>
              <w:snapToGrid w:val="0"/>
              <w:rPr>
                <w:rFonts w:ascii="Times New Roman" w:hAnsi="Times New Roman" w:cs="Times New Roman"/>
                <w:color w:val="auto"/>
                <w:sz w:val="18"/>
                <w:szCs w:val="18"/>
              </w:rPr>
            </w:pPr>
          </w:p>
        </w:tc>
        <w:tc>
          <w:tcPr>
            <w:tcW w:w="949" w:type="dxa"/>
            <w:shd w:val="clear" w:color="auto" w:fill="FFFFFF"/>
            <w:noWrap/>
            <w:vAlign w:val="top"/>
          </w:tcPr>
          <w:p>
            <w:pPr>
              <w:pStyle w:val="12"/>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90" w:hRule="exact"/>
          <w:jc w:val="center"/>
        </w:trPr>
        <w:tc>
          <w:tcPr>
            <w:tcW w:w="112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41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阴极保护电源输出电流、电压检测</w:t>
            </w:r>
          </w:p>
        </w:tc>
        <w:tc>
          <w:tcPr>
            <w:tcW w:w="1065" w:type="dxa"/>
            <w:shd w:val="clear" w:color="auto" w:fill="FFFFFF"/>
            <w:noWrap/>
            <w:vAlign w:val="top"/>
          </w:tcPr>
          <w:p>
            <w:pPr>
              <w:pStyle w:val="12"/>
              <w:snapToGrid w:val="0"/>
              <w:rPr>
                <w:rFonts w:ascii="Times New Roman" w:hAnsi="Times New Roman" w:cs="Times New Roman"/>
                <w:color w:val="auto"/>
                <w:sz w:val="18"/>
                <w:szCs w:val="18"/>
              </w:rPr>
            </w:pPr>
          </w:p>
        </w:tc>
        <w:tc>
          <w:tcPr>
            <w:tcW w:w="949" w:type="dxa"/>
            <w:shd w:val="clear" w:color="auto" w:fill="FFFFFF"/>
            <w:noWrap/>
            <w:vAlign w:val="top"/>
          </w:tcPr>
          <w:p>
            <w:pPr>
              <w:pStyle w:val="12"/>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49" w:hRule="exact"/>
          <w:jc w:val="center"/>
        </w:trPr>
        <w:tc>
          <w:tcPr>
            <w:tcW w:w="112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管道防腐涂层</w:t>
            </w:r>
          </w:p>
        </w:tc>
        <w:tc>
          <w:tcPr>
            <w:tcW w:w="892" w:type="dxa"/>
            <w:shd w:val="clear" w:color="auto" w:fill="FFFFFF"/>
            <w:noWrap/>
            <w:vAlign w:val="top"/>
          </w:tcPr>
          <w:p>
            <w:pPr>
              <w:snapToGrid w:val="0"/>
              <w:rPr>
                <w:rFonts w:ascii="Times New Roman" w:hAnsi="Times New Roman" w:cs="Times New Roman"/>
                <w:color w:val="auto"/>
                <w:sz w:val="18"/>
                <w:szCs w:val="18"/>
              </w:rPr>
            </w:pPr>
          </w:p>
        </w:tc>
        <w:tc>
          <w:tcPr>
            <w:tcW w:w="541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防腐涂层检测</w:t>
            </w:r>
          </w:p>
        </w:tc>
        <w:tc>
          <w:tcPr>
            <w:tcW w:w="1065" w:type="dxa"/>
            <w:shd w:val="clear" w:color="auto" w:fill="FFFFFF"/>
            <w:noWrap/>
            <w:vAlign w:val="top"/>
          </w:tcPr>
          <w:p>
            <w:pPr>
              <w:pStyle w:val="12"/>
              <w:snapToGrid w:val="0"/>
              <w:rPr>
                <w:rFonts w:ascii="Times New Roman" w:hAnsi="Times New Roman" w:cs="Times New Roman"/>
                <w:color w:val="auto"/>
                <w:sz w:val="18"/>
                <w:szCs w:val="18"/>
              </w:rPr>
            </w:pPr>
          </w:p>
        </w:tc>
        <w:tc>
          <w:tcPr>
            <w:tcW w:w="949" w:type="dxa"/>
            <w:shd w:val="clear" w:color="auto" w:fill="FFFFFF"/>
            <w:noWrap/>
            <w:vAlign w:val="top"/>
          </w:tcPr>
          <w:p>
            <w:pPr>
              <w:pStyle w:val="12"/>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441" w:hRule="exact"/>
          <w:jc w:val="center"/>
        </w:trPr>
        <w:tc>
          <w:tcPr>
            <w:tcW w:w="112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阀门的运行、维护</w:t>
            </w:r>
          </w:p>
        </w:tc>
        <w:tc>
          <w:tcPr>
            <w:tcW w:w="892" w:type="dxa"/>
            <w:shd w:val="clear" w:color="auto" w:fill="FFFFFF"/>
            <w:noWrap/>
            <w:vAlign w:val="top"/>
          </w:tcPr>
          <w:p>
            <w:pPr>
              <w:snapToGrid w:val="0"/>
              <w:rPr>
                <w:rFonts w:ascii="Times New Roman" w:hAnsi="Times New Roman" w:cs="Times New Roman"/>
                <w:color w:val="auto"/>
                <w:sz w:val="18"/>
                <w:szCs w:val="18"/>
              </w:rPr>
            </w:pPr>
          </w:p>
        </w:tc>
        <w:tc>
          <w:tcPr>
            <w:tcW w:w="5414" w:type="dxa"/>
            <w:shd w:val="clear" w:color="auto" w:fill="FFFFFF"/>
            <w:noWrap/>
            <w:vAlign w:val="center"/>
          </w:tcPr>
          <w:p>
            <w:pPr>
              <w:pStyle w:val="10"/>
              <w:numPr>
                <w:ilvl w:val="0"/>
                <w:numId w:val="47"/>
              </w:numPr>
              <w:tabs>
                <w:tab w:val="left" w:pos="20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不得有燃气泄漏、损坏等现象；阀门井内不得积水、塌陷，不得有妨碍阀门操作的堆积物；</w:t>
            </w:r>
          </w:p>
          <w:p>
            <w:pPr>
              <w:pStyle w:val="10"/>
              <w:numPr>
                <w:ilvl w:val="0"/>
                <w:numId w:val="47"/>
              </w:numPr>
              <w:tabs>
                <w:tab w:val="left" w:pos="20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应根据管网运行情况对阀门定期进行启闭操作和维护保养；</w:t>
            </w:r>
          </w:p>
          <w:p>
            <w:pPr>
              <w:pStyle w:val="10"/>
              <w:numPr>
                <w:ilvl w:val="0"/>
                <w:numId w:val="47"/>
              </w:numPr>
              <w:tabs>
                <w:tab w:val="left" w:pos="20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对无法启闭或关闭不严的阀门，应及时维修或更换</w:t>
            </w:r>
          </w:p>
        </w:tc>
        <w:tc>
          <w:tcPr>
            <w:tcW w:w="1065" w:type="dxa"/>
            <w:shd w:val="clear" w:color="auto" w:fill="FFFFFF"/>
            <w:noWrap/>
            <w:vAlign w:val="top"/>
          </w:tcPr>
          <w:p>
            <w:pPr>
              <w:pStyle w:val="12"/>
              <w:snapToGrid w:val="0"/>
              <w:rPr>
                <w:rFonts w:ascii="Times New Roman" w:hAnsi="Times New Roman" w:cs="Times New Roman"/>
                <w:color w:val="auto"/>
                <w:sz w:val="18"/>
                <w:szCs w:val="18"/>
              </w:rPr>
            </w:pPr>
          </w:p>
        </w:tc>
        <w:tc>
          <w:tcPr>
            <w:tcW w:w="949" w:type="dxa"/>
            <w:shd w:val="clear" w:color="auto" w:fill="FFFFFF"/>
            <w:noWrap/>
            <w:vAlign w:val="top"/>
          </w:tcPr>
          <w:p>
            <w:pPr>
              <w:pStyle w:val="12"/>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93" w:hRule="exact"/>
          <w:jc w:val="center"/>
        </w:trPr>
        <w:tc>
          <w:tcPr>
            <w:tcW w:w="112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凝水缸运行、维护</w:t>
            </w:r>
          </w:p>
        </w:tc>
        <w:tc>
          <w:tcPr>
            <w:tcW w:w="892" w:type="dxa"/>
            <w:shd w:val="clear" w:color="auto" w:fill="FFFFFF"/>
            <w:noWrap/>
            <w:vAlign w:val="top"/>
          </w:tcPr>
          <w:p>
            <w:pPr>
              <w:snapToGrid w:val="0"/>
              <w:rPr>
                <w:rFonts w:ascii="Times New Roman" w:hAnsi="Times New Roman" w:cs="Times New Roman"/>
                <w:color w:val="auto"/>
                <w:sz w:val="18"/>
                <w:szCs w:val="18"/>
              </w:rPr>
            </w:pPr>
          </w:p>
        </w:tc>
        <w:tc>
          <w:tcPr>
            <w:tcW w:w="541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定期排放积水，排放时不得空放燃气。凝水缸护罩(或护井)、排水装置，不得有泄漏、腐蚀和堵塞的现象及妨碍排水作业的堆积物</w:t>
            </w:r>
          </w:p>
        </w:tc>
        <w:tc>
          <w:tcPr>
            <w:tcW w:w="1065" w:type="dxa"/>
            <w:shd w:val="clear" w:color="auto" w:fill="FFFFFF"/>
            <w:noWrap/>
            <w:vAlign w:val="top"/>
          </w:tcPr>
          <w:p>
            <w:pPr>
              <w:pStyle w:val="12"/>
              <w:snapToGrid w:val="0"/>
              <w:rPr>
                <w:rFonts w:ascii="Times New Roman" w:hAnsi="Times New Roman" w:cs="Times New Roman"/>
                <w:color w:val="auto"/>
                <w:sz w:val="18"/>
                <w:szCs w:val="18"/>
              </w:rPr>
            </w:pPr>
          </w:p>
        </w:tc>
        <w:tc>
          <w:tcPr>
            <w:tcW w:w="949" w:type="dxa"/>
            <w:shd w:val="clear" w:color="auto" w:fill="FFFFFF"/>
            <w:noWrap/>
            <w:vAlign w:val="top"/>
          </w:tcPr>
          <w:p>
            <w:pPr>
              <w:pStyle w:val="12"/>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62" w:hRule="exact"/>
          <w:jc w:val="center"/>
        </w:trPr>
        <w:tc>
          <w:tcPr>
            <w:tcW w:w="112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波纹管调长器</w:t>
            </w:r>
          </w:p>
        </w:tc>
        <w:tc>
          <w:tcPr>
            <w:tcW w:w="892" w:type="dxa"/>
            <w:shd w:val="clear" w:color="auto" w:fill="FFFFFF"/>
            <w:noWrap/>
            <w:vAlign w:val="top"/>
          </w:tcPr>
          <w:p>
            <w:pPr>
              <w:snapToGrid w:val="0"/>
              <w:rPr>
                <w:rFonts w:ascii="Times New Roman" w:hAnsi="Times New Roman" w:cs="Times New Roman"/>
                <w:color w:val="auto"/>
                <w:sz w:val="18"/>
                <w:szCs w:val="18"/>
              </w:rPr>
            </w:pPr>
          </w:p>
        </w:tc>
        <w:tc>
          <w:tcPr>
            <w:tcW w:w="541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波纹管调长器接口应定期进行严密性及工作状态检查。调长器调节操作完成后应拧紧螺母，使拉杆处于受力状态</w:t>
            </w:r>
          </w:p>
        </w:tc>
        <w:tc>
          <w:tcPr>
            <w:tcW w:w="1065" w:type="dxa"/>
            <w:shd w:val="clear" w:color="auto" w:fill="FFFFFF"/>
            <w:noWrap/>
            <w:vAlign w:val="top"/>
          </w:tcPr>
          <w:p>
            <w:pPr>
              <w:pStyle w:val="12"/>
              <w:snapToGrid w:val="0"/>
              <w:rPr>
                <w:rFonts w:ascii="Times New Roman" w:hAnsi="Times New Roman" w:cs="Times New Roman"/>
                <w:color w:val="auto"/>
                <w:sz w:val="18"/>
                <w:szCs w:val="18"/>
              </w:rPr>
            </w:pPr>
          </w:p>
        </w:tc>
        <w:tc>
          <w:tcPr>
            <w:tcW w:w="949" w:type="dxa"/>
            <w:shd w:val="clear" w:color="auto" w:fill="FFFFFF"/>
            <w:noWrap/>
            <w:vAlign w:val="top"/>
          </w:tcPr>
          <w:p>
            <w:pPr>
              <w:pStyle w:val="12"/>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78" w:hRule="exact"/>
          <w:jc w:val="center"/>
        </w:trPr>
        <w:tc>
          <w:tcPr>
            <w:tcW w:w="112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其他检测</w:t>
            </w:r>
          </w:p>
        </w:tc>
        <w:tc>
          <w:tcPr>
            <w:tcW w:w="892" w:type="dxa"/>
            <w:shd w:val="clear" w:color="auto" w:fill="FFFFFF"/>
            <w:noWrap/>
            <w:vAlign w:val="top"/>
          </w:tcPr>
          <w:p>
            <w:pPr>
              <w:snapToGrid w:val="0"/>
              <w:rPr>
                <w:rFonts w:ascii="Times New Roman" w:hAnsi="Times New Roman" w:cs="Times New Roman"/>
                <w:color w:val="auto"/>
                <w:sz w:val="18"/>
                <w:szCs w:val="18"/>
              </w:rPr>
            </w:pPr>
          </w:p>
        </w:tc>
        <w:tc>
          <w:tcPr>
            <w:tcW w:w="5414" w:type="dxa"/>
            <w:shd w:val="clear" w:color="auto" w:fill="FFFFFF"/>
            <w:noWrap/>
            <w:vAlign w:val="top"/>
          </w:tcPr>
          <w:p>
            <w:pPr>
              <w:snapToGrid w:val="0"/>
              <w:rPr>
                <w:rFonts w:ascii="Times New Roman" w:hAnsi="Times New Roman" w:cs="Times New Roman"/>
                <w:color w:val="auto"/>
                <w:sz w:val="18"/>
                <w:szCs w:val="18"/>
              </w:rPr>
            </w:pPr>
          </w:p>
        </w:tc>
        <w:tc>
          <w:tcPr>
            <w:tcW w:w="1065" w:type="dxa"/>
            <w:shd w:val="clear" w:color="auto" w:fill="FFFFFF"/>
            <w:noWrap/>
            <w:vAlign w:val="top"/>
          </w:tcPr>
          <w:p>
            <w:pPr>
              <w:pStyle w:val="12"/>
              <w:snapToGrid w:val="0"/>
              <w:rPr>
                <w:rFonts w:ascii="Times New Roman" w:hAnsi="Times New Roman" w:cs="Times New Roman"/>
                <w:color w:val="auto"/>
                <w:sz w:val="18"/>
                <w:szCs w:val="18"/>
              </w:rPr>
            </w:pPr>
          </w:p>
        </w:tc>
        <w:tc>
          <w:tcPr>
            <w:tcW w:w="949" w:type="dxa"/>
            <w:shd w:val="clear" w:color="auto" w:fill="FFFFFF"/>
            <w:noWrap/>
            <w:vAlign w:val="top"/>
          </w:tcPr>
          <w:p>
            <w:pPr>
              <w:pStyle w:val="12"/>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14" w:hRule="exact"/>
          <w:jc w:val="center"/>
        </w:trPr>
        <w:tc>
          <w:tcPr>
            <w:tcW w:w="2017" w:type="dxa"/>
            <w:gridSpan w:val="2"/>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检查人员</w:t>
            </w:r>
          </w:p>
        </w:tc>
        <w:tc>
          <w:tcPr>
            <w:tcW w:w="5414" w:type="dxa"/>
            <w:shd w:val="clear" w:color="auto" w:fill="FFFFFF"/>
            <w:noWrap/>
            <w:vAlign w:val="center"/>
          </w:tcPr>
          <w:p>
            <w:pPr>
              <w:snapToGrid w:val="0"/>
              <w:rPr>
                <w:rFonts w:ascii="Times New Roman" w:hAnsi="Times New Roman" w:cs="Times New Roman"/>
                <w:color w:val="auto"/>
                <w:sz w:val="18"/>
                <w:szCs w:val="18"/>
              </w:rPr>
            </w:pPr>
          </w:p>
        </w:tc>
        <w:tc>
          <w:tcPr>
            <w:tcW w:w="2014"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日期：</w:t>
            </w:r>
          </w:p>
        </w:tc>
      </w:tr>
    </w:tbl>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注：</w:t>
      </w:r>
      <w:r>
        <w:rPr>
          <w:rFonts w:ascii="Times New Roman" w:hAnsi="Times New Roman" w:eastAsia="Times New Roman" w:cs="Times New Roman"/>
          <w:color w:val="auto"/>
          <w:sz w:val="18"/>
          <w:szCs w:val="18"/>
          <w:lang w:val="en-US" w:eastAsia="zh-CN" w:bidi="en-US"/>
        </w:rPr>
        <w:t>1.</w:t>
      </w:r>
      <w:r>
        <w:rPr>
          <w:rFonts w:ascii="Times New Roman" w:hAnsi="Times New Roman" w:cs="Times New Roman"/>
          <w:color w:val="auto"/>
          <w:sz w:val="18"/>
          <w:szCs w:val="18"/>
        </w:rPr>
        <w:t>本记录表为建议表格，使用单位可根据本单位实际情况或须检测的内容重新制定表格。</w:t>
      </w:r>
    </w:p>
    <w:p>
      <w:pPr>
        <w:pStyle w:val="9"/>
        <w:snapToGrid w:val="0"/>
        <w:spacing w:line="240" w:lineRule="auto"/>
        <w:ind w:firstLine="360" w:firstLineChars="200"/>
        <w:rPr>
          <w:rFonts w:ascii="Times New Roman" w:hAnsi="Times New Roman" w:cs="Times New Roman"/>
          <w:color w:val="auto"/>
          <w:sz w:val="18"/>
          <w:szCs w:val="18"/>
          <w:lang w:eastAsia="zh-CN"/>
        </w:rPr>
      </w:pPr>
      <w:r>
        <w:rPr>
          <w:rFonts w:ascii="Times New Roman" w:hAnsi="Times New Roman" w:eastAsia="Times New Roman" w:cs="Times New Roman"/>
          <w:color w:val="auto"/>
          <w:sz w:val="18"/>
          <w:szCs w:val="18"/>
          <w:lang w:val="en-US" w:eastAsia="zh-CN" w:bidi="en-US"/>
        </w:rPr>
        <w:t>2.</w:t>
      </w:r>
      <w:r>
        <w:rPr>
          <w:rFonts w:ascii="Times New Roman" w:hAnsi="Times New Roman" w:cs="Times New Roman"/>
          <w:color w:val="auto"/>
          <w:sz w:val="18"/>
          <w:szCs w:val="18"/>
        </w:rPr>
        <w:t>检测项目和内容可根据使用单位实际情况作出调整。</w:t>
      </w:r>
    </w:p>
    <w:p>
      <w:pPr>
        <w:snapToGrid w:val="0"/>
        <w:rPr>
          <w:rFonts w:ascii="Times New Roman" w:hAnsi="Times New Roman" w:eastAsia="宋体" w:cs="Times New Roman"/>
          <w:color w:val="auto"/>
          <w:sz w:val="18"/>
          <w:szCs w:val="18"/>
        </w:rPr>
        <w:sectPr>
          <w:pgSz w:w="11900" w:h="16840"/>
          <w:pgMar w:top="1134" w:right="1134" w:bottom="1134" w:left="1134" w:header="851" w:footer="851" w:gutter="0"/>
          <w:pgNumType w:fmt="numberInDash"/>
          <w:cols w:space="720" w:num="1"/>
          <w:docGrid w:linePitch="360" w:charSpace="0"/>
        </w:sect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auto"/>
          <w:kern w:val="2"/>
          <w:sz w:val="32"/>
          <w:szCs w:val="32"/>
          <w:lang w:val="zh-TW" w:eastAsia="zh-TW" w:bidi="zh-TW"/>
        </w:rPr>
      </w:pPr>
      <w:r>
        <w:rPr>
          <w:rFonts w:hint="eastAsia" w:ascii="方正小标宋简体" w:hAnsi="方正小标宋简体" w:eastAsia="方正小标宋简体" w:cs="方正小标宋简体"/>
          <w:b w:val="0"/>
          <w:bCs/>
          <w:color w:val="auto"/>
          <w:kern w:val="2"/>
          <w:sz w:val="32"/>
          <w:szCs w:val="32"/>
          <w:lang w:val="zh-TW" w:eastAsia="zh-TW" w:bidi="zh-TW"/>
        </w:rPr>
        <w:t>表B.9  特种设备隐患排查清单——长输管道专项要求</w:t>
      </w:r>
    </w:p>
    <w:p>
      <w:pPr>
        <w:snapToGrid w:val="0"/>
        <w:rPr>
          <w:rFonts w:ascii="Times New Roman" w:hAnsi="Times New Roman" w:eastAsia="宋体" w:cs="Times New Roman"/>
          <w:color w:val="auto"/>
          <w:sz w:val="18"/>
          <w:szCs w:val="18"/>
        </w:rPr>
      </w:pPr>
    </w:p>
    <w:tbl>
      <w:tblPr>
        <w:tblStyle w:val="8"/>
        <w:tblW w:w="14616"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857"/>
        <w:gridCol w:w="955"/>
        <w:gridCol w:w="760"/>
        <w:gridCol w:w="850"/>
        <w:gridCol w:w="851"/>
        <w:gridCol w:w="950"/>
        <w:gridCol w:w="994"/>
        <w:gridCol w:w="83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402" w:hRule="atLeast"/>
        </w:trPr>
        <w:tc>
          <w:tcPr>
            <w:tcW w:w="857"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排查内容(途径)</w:t>
            </w:r>
          </w:p>
        </w:tc>
        <w:tc>
          <w:tcPr>
            <w:tcW w:w="955"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实施单位</w:t>
            </w:r>
          </w:p>
        </w:tc>
        <w:tc>
          <w:tcPr>
            <w:tcW w:w="760"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排查人</w:t>
            </w:r>
          </w:p>
        </w:tc>
        <w:tc>
          <w:tcPr>
            <w:tcW w:w="850"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排查时间</w:t>
            </w:r>
          </w:p>
        </w:tc>
        <w:tc>
          <w:tcPr>
            <w:tcW w:w="2795" w:type="dxa"/>
            <w:gridSpan w:val="3"/>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val="en-US" w:eastAsia="zh-CN" w:bidi="en-US"/>
              </w:rPr>
            </w:pPr>
            <w:r>
              <w:rPr>
                <w:rFonts w:ascii="Times New Roman" w:hAnsi="Times New Roman" w:eastAsia="黑体" w:cs="Times New Roman"/>
                <w:b/>
                <w:color w:val="auto"/>
                <w:sz w:val="18"/>
                <w:szCs w:val="18"/>
                <w:lang w:val="en-US" w:eastAsia="zh-CN" w:bidi="en-US"/>
              </w:rPr>
              <w:t>排查依据</w:t>
            </w:r>
          </w:p>
        </w:tc>
        <w:tc>
          <w:tcPr>
            <w:tcW w:w="8399"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432"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5" w:type="dxa"/>
            <w:vMerge w:val="continue"/>
            <w:shd w:val="clear" w:color="auto" w:fill="FFFFFF"/>
            <w:noWrap/>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760" w:type="dxa"/>
            <w:vMerge w:val="continue"/>
            <w:shd w:val="clear" w:color="auto" w:fill="FFFFFF"/>
            <w:noWrap/>
            <w:vAlign w:val="top"/>
          </w:tcPr>
          <w:p>
            <w:pPr>
              <w:pStyle w:val="10"/>
              <w:snapToGrid w:val="0"/>
              <w:spacing w:line="240" w:lineRule="auto"/>
              <w:jc w:val="center"/>
              <w:rPr>
                <w:rFonts w:ascii="Times New Roman" w:hAnsi="Times New Roman" w:cs="Times New Roman"/>
                <w:color w:val="auto"/>
                <w:sz w:val="18"/>
                <w:szCs w:val="18"/>
                <w:lang w:eastAsia="zh-CN"/>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1801"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法规标准</w:t>
            </w:r>
          </w:p>
        </w:tc>
        <w:tc>
          <w:tcPr>
            <w:tcW w:w="994"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适用条款</w:t>
            </w:r>
          </w:p>
        </w:tc>
        <w:tc>
          <w:tcPr>
            <w:tcW w:w="8399"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629" w:hRule="exact"/>
        </w:trPr>
        <w:tc>
          <w:tcPr>
            <w:tcW w:w="85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管道改造和重大修理</w:t>
            </w:r>
          </w:p>
        </w:tc>
        <w:tc>
          <w:tcPr>
            <w:tcW w:w="95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施工单位</w:t>
            </w:r>
          </w:p>
        </w:tc>
        <w:tc>
          <w:tcPr>
            <w:tcW w:w="76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安全管理人员</w:t>
            </w:r>
          </w:p>
        </w:tc>
        <w:tc>
          <w:tcPr>
            <w:tcW w:w="8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每年一次</w:t>
            </w:r>
          </w:p>
        </w:tc>
        <w:tc>
          <w:tcPr>
            <w:tcW w:w="1801" w:type="dxa"/>
            <w:gridSpan w:val="2"/>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《压力管道监督检验规则》</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(TSG D7006-2020)</w:t>
            </w:r>
          </w:p>
        </w:tc>
        <w:tc>
          <w:tcPr>
            <w:tcW w:w="9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1.2.2</w:t>
            </w:r>
          </w:p>
        </w:tc>
        <w:tc>
          <w:tcPr>
            <w:tcW w:w="8399"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压力管道改造，是指改变管道规格、材质、结构布置或者改变管道介质、压力、温度等工作参数，致使管道性能参数或者管道结构发生变化的活动。</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压力管道重大修理，是指对管道采用焊接方法更换管段以及阀门、管子矫形、受压部件焊补、带压密封和带压封堵等。</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《特种设备目录》规定范围内的长输管道的</w:t>
            </w:r>
            <w:r>
              <w:rPr>
                <w:rFonts w:ascii="Times New Roman" w:hAnsi="Times New Roman" w:cs="Times New Roman"/>
                <w:color w:val="auto"/>
                <w:sz w:val="18"/>
                <w:szCs w:val="18"/>
              </w:rPr>
              <w:t>改造或者重大修理(应急抢修的管道施工过程除外)，一次性更换相同介质的管道总长度大于100 米的过程</w:t>
            </w:r>
            <w:r>
              <w:rPr>
                <w:rFonts w:ascii="Times New Roman" w:hAnsi="Times New Roman" w:cs="Times New Roman"/>
                <w:color w:val="auto"/>
                <w:sz w:val="18"/>
                <w:szCs w:val="18"/>
                <w:lang w:eastAsia="zh-CN"/>
              </w:rPr>
              <w:t>需要进行施工监检。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428" w:hRule="exact"/>
        </w:trPr>
        <w:tc>
          <w:tcPr>
            <w:tcW w:w="85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经常性维护保养</w:t>
            </w:r>
          </w:p>
        </w:tc>
        <w:tc>
          <w:tcPr>
            <w:tcW w:w="95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使用单位</w:t>
            </w:r>
          </w:p>
        </w:tc>
        <w:tc>
          <w:tcPr>
            <w:tcW w:w="76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有资质的单位或人员</w:t>
            </w:r>
          </w:p>
        </w:tc>
        <w:tc>
          <w:tcPr>
            <w:tcW w:w="8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使用单位自定</w:t>
            </w:r>
          </w:p>
        </w:tc>
        <w:tc>
          <w:tcPr>
            <w:tcW w:w="1801" w:type="dxa"/>
            <w:gridSpan w:val="2"/>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特种设备安全监察条例</w:t>
            </w:r>
          </w:p>
        </w:tc>
        <w:tc>
          <w:tcPr>
            <w:tcW w:w="994" w:type="dxa"/>
            <w:shd w:val="clear" w:color="auto" w:fill="FFFFFF"/>
            <w:noWrap/>
            <w:vAlign w:val="center"/>
          </w:tcPr>
          <w:p>
            <w:pPr>
              <w:snapToGrid w:val="0"/>
              <w:jc w:val="center"/>
              <w:rPr>
                <w:rFonts w:ascii="Times New Roman" w:hAnsi="Times New Roman" w:eastAsia="宋体" w:cs="Times New Roman"/>
                <w:color w:val="auto"/>
                <w:sz w:val="18"/>
                <w:szCs w:val="18"/>
                <w:lang w:val="zh-TW" w:eastAsia="zh-TW" w:bidi="zh-TW"/>
              </w:rPr>
            </w:pPr>
            <w:r>
              <w:rPr>
                <w:rFonts w:ascii="Times New Roman" w:hAnsi="Times New Roman" w:eastAsia="宋体" w:cs="Times New Roman"/>
                <w:color w:val="auto"/>
                <w:sz w:val="18"/>
                <w:szCs w:val="18"/>
                <w:lang w:val="zh-TW" w:eastAsia="zh-TW" w:bidi="zh-TW"/>
              </w:rPr>
              <w:t>第二十七条</w:t>
            </w:r>
          </w:p>
        </w:tc>
        <w:tc>
          <w:tcPr>
            <w:tcW w:w="8399"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特种设备使用单位应当对在用特种设备进行经常性日常维护保养，并定期自行检查。</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特种设备使用单位对在用特种设备应当至少每月进行一次自行检查,并作出记录。特种设备使用单位在对在用特种设备进行自行检查和日常维护保养时发现异常情况的，应当及时处理。</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特种设备使用单位应当对在用特种设备的安全附件、安全保护装置、测量调控装置及有关附属仪器仪表进行定期校验、检修，并作出记录。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977" w:hRule="exact"/>
        </w:trPr>
        <w:tc>
          <w:tcPr>
            <w:tcW w:w="857"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年度检查</w:t>
            </w:r>
          </w:p>
        </w:tc>
        <w:tc>
          <w:tcPr>
            <w:tcW w:w="955"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使用单位或委托有资质的检验机构</w:t>
            </w:r>
          </w:p>
        </w:tc>
        <w:tc>
          <w:tcPr>
            <w:tcW w:w="760"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管道作业人员或有资格的检验人员</w:t>
            </w:r>
          </w:p>
        </w:tc>
        <w:tc>
          <w:tcPr>
            <w:tcW w:w="850"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每年一次</w:t>
            </w:r>
          </w:p>
        </w:tc>
        <w:tc>
          <w:tcPr>
            <w:tcW w:w="1801" w:type="dxa"/>
            <w:gridSpan w:val="2"/>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压力管道定期检验规则——</w:t>
            </w:r>
            <w:r>
              <w:rPr>
                <w:rFonts w:ascii="Times New Roman" w:hAnsi="Times New Roman" w:cs="Times New Roman"/>
                <w:color w:val="auto"/>
                <w:sz w:val="18"/>
                <w:szCs w:val="18"/>
                <w:lang w:eastAsia="zh-CN"/>
              </w:rPr>
              <w:t>长输(油气)</w:t>
            </w:r>
            <w:r>
              <w:rPr>
                <w:rFonts w:ascii="Times New Roman" w:hAnsi="Times New Roman" w:cs="Times New Roman"/>
                <w:color w:val="auto"/>
                <w:sz w:val="18"/>
                <w:szCs w:val="18"/>
              </w:rPr>
              <w:t>管道</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TSGD700</w:t>
            </w:r>
            <w:r>
              <w:rPr>
                <w:rFonts w:ascii="Times New Roman" w:hAnsi="Times New Roman" w:cs="Times New Roman"/>
                <w:color w:val="auto"/>
                <w:sz w:val="18"/>
                <w:szCs w:val="18"/>
                <w:lang w:val="en-US" w:eastAsia="zh-CN" w:bidi="en-US"/>
              </w:rPr>
              <w:t>3</w:t>
            </w:r>
            <w:r>
              <w:rPr>
                <w:rFonts w:ascii="Times New Roman" w:hAnsi="Times New Roman" w:eastAsia="Times New Roman" w:cs="Times New Roman"/>
                <w:color w:val="auto"/>
                <w:sz w:val="18"/>
                <w:szCs w:val="18"/>
                <w:lang w:val="en-US" w:eastAsia="zh-CN" w:bidi="en-US"/>
              </w:rPr>
              <w:t>-</w:t>
            </w:r>
            <w:r>
              <w:rPr>
                <w:rFonts w:ascii="Times New Roman" w:hAnsi="Times New Roman" w:eastAsia="Times New Roman" w:cs="Times New Roman"/>
                <w:color w:val="auto"/>
                <w:sz w:val="18"/>
                <w:szCs w:val="18"/>
              </w:rPr>
              <w:t>2010</w:t>
            </w:r>
            <w:r>
              <w:rPr>
                <w:rFonts w:ascii="Times New Roman" w:hAnsi="Times New Roman" w:cs="Times New Roman"/>
                <w:color w:val="auto"/>
                <w:sz w:val="18"/>
                <w:szCs w:val="18"/>
              </w:rPr>
              <w:t>)</w:t>
            </w:r>
          </w:p>
        </w:tc>
        <w:tc>
          <w:tcPr>
            <w:tcW w:w="994" w:type="dxa"/>
            <w:shd w:val="clear" w:color="auto" w:fill="FFFFFF"/>
            <w:noWrap/>
            <w:vAlign w:val="center"/>
          </w:tcPr>
          <w:p>
            <w:pPr>
              <w:snapToGrid w:val="0"/>
              <w:jc w:val="center"/>
              <w:rPr>
                <w:rFonts w:ascii="Times New Roman" w:hAnsi="Times New Roman" w:eastAsia="宋体" w:cs="Times New Roman"/>
                <w:color w:val="auto"/>
                <w:sz w:val="18"/>
                <w:szCs w:val="18"/>
                <w:lang w:val="zh-TW" w:eastAsia="zh-TW" w:bidi="zh-TW"/>
              </w:rPr>
            </w:pPr>
            <w:r>
              <w:rPr>
                <w:rFonts w:ascii="Times New Roman" w:hAnsi="Times New Roman" w:eastAsia="宋体" w:cs="Times New Roman"/>
                <w:color w:val="auto"/>
                <w:sz w:val="18"/>
                <w:szCs w:val="18"/>
                <w:lang w:val="zh-TW" w:eastAsia="zh-TW" w:bidi="zh-TW"/>
              </w:rPr>
              <w:t>第</w:t>
            </w:r>
            <w:r>
              <w:rPr>
                <w:rFonts w:ascii="Times New Roman" w:hAnsi="Times New Roman" w:eastAsia="宋体" w:cs="Times New Roman"/>
                <w:color w:val="auto"/>
                <w:sz w:val="18"/>
                <w:szCs w:val="18"/>
                <w:lang w:val="zh-TW" w:bidi="zh-TW"/>
              </w:rPr>
              <w:t>九</w:t>
            </w:r>
            <w:r>
              <w:rPr>
                <w:rFonts w:ascii="Times New Roman" w:hAnsi="Times New Roman" w:eastAsia="宋体" w:cs="Times New Roman"/>
                <w:color w:val="auto"/>
                <w:sz w:val="18"/>
                <w:szCs w:val="18"/>
                <w:lang w:val="zh-TW" w:eastAsia="zh-TW" w:bidi="zh-TW"/>
              </w:rPr>
              <w:t>条</w:t>
            </w:r>
          </w:p>
        </w:tc>
        <w:tc>
          <w:tcPr>
            <w:tcW w:w="8399"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人员应当在全面了解被检管道的使用、管理情况，并且在认真调阅管道技术资料和管理资料的基础上，对管道运行记录、管道隐患监护措施实施情况记录、管道改造施工记录、检修报告、管道故障处理记录进行审查，记录审查情况。</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根据审查的数据进行综合评价，重点对下列管道进行检查，确定事故容易发生的位置以及发生事故造成严重后果的位置：</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(一)穿、跨越管道；</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(二)管道出土、入土点，管道阀室、分输点，管道敷设时位置较低点；</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(三)事故后果严重区内的管道；</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(四)工作条件苛刻以及承受交变载荷的管道，如原油泵站、成品油与天然气加压站等进出口处的管道；</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(五)曾经发生过泄漏以及抢险抢修过的管道，地质灾害发生比较频繁地区的管道；</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(六)已经发现的严重腐蚀或者其他危险因素的管道。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918"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6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highlight w:val="yellow"/>
                <w:lang w:eastAsia="zh-CN"/>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801" w:type="dxa"/>
            <w:gridSpan w:val="2"/>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94" w:type="dxa"/>
            <w:shd w:val="clear" w:color="auto" w:fill="FFFFFF"/>
            <w:noWrap/>
            <w:vAlign w:val="center"/>
          </w:tcPr>
          <w:p>
            <w:pPr>
              <w:autoSpaceDE w:val="0"/>
              <w:autoSpaceDN w:val="0"/>
              <w:adjustRightInd w:val="0"/>
              <w:jc w:val="left"/>
              <w:rPr>
                <w:rFonts w:ascii="Times New Roman" w:hAnsi="Times New Roman" w:eastAsia="黑体" w:cs="Times New Roman"/>
                <w:color w:val="auto"/>
                <w:kern w:val="0"/>
                <w:sz w:val="24"/>
                <w:szCs w:val="24"/>
              </w:rPr>
            </w:pPr>
            <w:r>
              <w:rPr>
                <w:rFonts w:ascii="Times New Roman" w:hAnsi="Times New Roman" w:eastAsia="宋体" w:cs="Times New Roman"/>
                <w:color w:val="auto"/>
                <w:sz w:val="18"/>
                <w:szCs w:val="18"/>
                <w:lang w:val="zh-TW" w:bidi="zh-TW"/>
              </w:rPr>
              <w:t>B1资料审查</w:t>
            </w:r>
          </w:p>
        </w:tc>
        <w:tc>
          <w:tcPr>
            <w:tcW w:w="8399"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(1)安全管理资料，包括使用登记证、安全管理规章制度与安全操作规则，作业人员上岗持证情况；</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(2)技术档案资料，包括定期检验报告，必要时还包括设计和安装、改造、维修等施工、竣工验收资料；</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(3)运行状况资料，包括日常运行维护记录、隐患排查治理记录、改造与维修资料、故障与事故记录。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987"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6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801" w:type="dxa"/>
            <w:gridSpan w:val="2"/>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第十条</w:t>
            </w:r>
          </w:p>
        </w:tc>
        <w:tc>
          <w:tcPr>
            <w:tcW w:w="8399"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年度检查的内容除TSG D7003-2010第九条的要求外，还应当包括宏观检查、防腐(保温)层检查、电性能测试、阴极保护系统测试、壁厚测定、地质条件调查、安全保护装置检验。年度检查以宏观检查和安全保护装置检验为主，必要时进行腐蚀防护系统检查，部分检查项目可结合日常巡线进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415" w:hRule="atLeast"/>
        </w:trPr>
        <w:tc>
          <w:tcPr>
            <w:tcW w:w="857"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排查内容(途径)</w:t>
            </w:r>
          </w:p>
        </w:tc>
        <w:tc>
          <w:tcPr>
            <w:tcW w:w="955"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实施单位</w:t>
            </w:r>
          </w:p>
        </w:tc>
        <w:tc>
          <w:tcPr>
            <w:tcW w:w="760"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排查人</w:t>
            </w:r>
          </w:p>
        </w:tc>
        <w:tc>
          <w:tcPr>
            <w:tcW w:w="850"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排查时间</w:t>
            </w:r>
          </w:p>
        </w:tc>
        <w:tc>
          <w:tcPr>
            <w:tcW w:w="2795" w:type="dxa"/>
            <w:gridSpan w:val="3"/>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黑体" w:cs="Times New Roman"/>
                <w:b/>
                <w:color w:val="auto"/>
                <w:sz w:val="18"/>
                <w:szCs w:val="18"/>
                <w:lang w:val="en-US" w:eastAsia="zh-CN" w:bidi="en-US"/>
              </w:rPr>
              <w:t>排查依据</w:t>
            </w:r>
          </w:p>
        </w:tc>
        <w:tc>
          <w:tcPr>
            <w:tcW w:w="8399"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黑体" w:cs="Times New Roman"/>
                <w:b/>
                <w:color w:val="auto"/>
                <w:sz w:val="18"/>
                <w:szCs w:val="18"/>
                <w:lang w:eastAsia="zh-CN"/>
              </w:rPr>
              <w:t>排查要求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70"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6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法规标准</w:t>
            </w:r>
          </w:p>
        </w:tc>
        <w:tc>
          <w:tcPr>
            <w:tcW w:w="1944"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适用条款</w:t>
            </w:r>
          </w:p>
        </w:tc>
        <w:tc>
          <w:tcPr>
            <w:tcW w:w="8399"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557" w:hRule="exact"/>
        </w:trPr>
        <w:tc>
          <w:tcPr>
            <w:tcW w:w="857"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年度检查</w:t>
            </w:r>
          </w:p>
        </w:tc>
        <w:tc>
          <w:tcPr>
            <w:tcW w:w="955"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使用单位或委托有资质的检验机构</w:t>
            </w:r>
          </w:p>
        </w:tc>
        <w:tc>
          <w:tcPr>
            <w:tcW w:w="760"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管道作业人员或有资格的检验人员</w:t>
            </w:r>
          </w:p>
        </w:tc>
        <w:tc>
          <w:tcPr>
            <w:tcW w:w="850"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每年一次</w:t>
            </w:r>
          </w:p>
        </w:tc>
        <w:tc>
          <w:tcPr>
            <w:tcW w:w="851"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压力管道定期检验规则——</w:t>
            </w:r>
            <w:r>
              <w:rPr>
                <w:rFonts w:ascii="Times New Roman" w:hAnsi="Times New Roman" w:cs="Times New Roman"/>
                <w:color w:val="auto"/>
                <w:sz w:val="18"/>
                <w:szCs w:val="18"/>
                <w:lang w:eastAsia="zh-CN"/>
              </w:rPr>
              <w:t>长输(油气)</w:t>
            </w:r>
            <w:r>
              <w:rPr>
                <w:rFonts w:ascii="Times New Roman" w:hAnsi="Times New Roman" w:cs="Times New Roman"/>
                <w:color w:val="auto"/>
                <w:sz w:val="18"/>
                <w:szCs w:val="18"/>
              </w:rPr>
              <w:t>管道</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TSGD700</w:t>
            </w:r>
            <w:r>
              <w:rPr>
                <w:rFonts w:ascii="Times New Roman" w:hAnsi="Times New Roman" w:cs="Times New Roman"/>
                <w:color w:val="auto"/>
                <w:sz w:val="18"/>
                <w:szCs w:val="18"/>
                <w:lang w:val="en-US" w:eastAsia="zh-CN" w:bidi="en-US"/>
              </w:rPr>
              <w:t>3</w:t>
            </w:r>
            <w:r>
              <w:rPr>
                <w:rFonts w:ascii="Times New Roman" w:hAnsi="Times New Roman" w:eastAsia="Times New Roman" w:cs="Times New Roman"/>
                <w:color w:val="auto"/>
                <w:sz w:val="18"/>
                <w:szCs w:val="18"/>
                <w:lang w:val="en-US" w:eastAsia="zh-CN" w:bidi="en-US"/>
              </w:rPr>
              <w:t>-</w:t>
            </w:r>
            <w:r>
              <w:rPr>
                <w:rFonts w:ascii="Times New Roman" w:hAnsi="Times New Roman" w:eastAsia="Times New Roman" w:cs="Times New Roman"/>
                <w:color w:val="auto"/>
                <w:sz w:val="18"/>
                <w:szCs w:val="18"/>
              </w:rPr>
              <w:t>2010</w:t>
            </w:r>
            <w:r>
              <w:rPr>
                <w:rFonts w:ascii="Times New Roman" w:hAnsi="Times New Roman" w:cs="Times New Roman"/>
                <w:color w:val="auto"/>
                <w:sz w:val="18"/>
                <w:szCs w:val="18"/>
              </w:rPr>
              <w:t>)</w:t>
            </w:r>
          </w:p>
        </w:tc>
        <w:tc>
          <w:tcPr>
            <w:tcW w:w="1944"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B2宏观检查</w:t>
            </w:r>
          </w:p>
        </w:tc>
        <w:tc>
          <w:tcPr>
            <w:tcW w:w="8399"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(1)位置与走向，主要检查管道位置、埋深和走向(注B-1)；</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(2)地面装置，主要检查标志桩、测试桩、里程桩、标志牌(简称三桩一牌)以及锚固礅、围栏等外观完好情况、丢失情况；</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(3)管道沿线防护带，包括与其他建(构)筑物净距和占压状况；</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(4)地面泄漏情况；</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(5)跨越段，检查跨越段管道防腐(保温)层、补偿器、锚固礅的完好情况，钢结构及基础、钢丝绳、索具及其连接件等腐蚀损伤情况；</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(6)穿越段，检查管道穿越处保护工程的稳固性及河道变迁等情况；</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(7)水工保护设施情况；</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(8)检验人员认为有必要的其他检查。</w:t>
            </w:r>
          </w:p>
          <w:p>
            <w:pPr>
              <w:pStyle w:val="10"/>
              <w:snapToGrid w:val="0"/>
              <w:spacing w:line="240" w:lineRule="auto"/>
              <w:rPr>
                <w:rFonts w:ascii="Times New Roman" w:hAnsi="Times New Roman" w:cs="Times New Roman"/>
                <w:color w:val="auto"/>
                <w:sz w:val="15"/>
                <w:szCs w:val="15"/>
                <w:lang w:eastAsia="zh-CN"/>
              </w:rPr>
            </w:pPr>
            <w:r>
              <w:rPr>
                <w:rFonts w:ascii="Times New Roman" w:hAnsi="Times New Roman" w:cs="Times New Roman"/>
                <w:color w:val="auto"/>
                <w:sz w:val="15"/>
                <w:szCs w:val="15"/>
                <w:lang w:eastAsia="zh-CN"/>
              </w:rPr>
              <w:t>注B-1：如果管线周围地表环境无较大变动、管道无沉降等情况，可以不要求。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565"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6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944"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B3防腐(保温)层检查</w:t>
            </w:r>
          </w:p>
        </w:tc>
        <w:tc>
          <w:tcPr>
            <w:tcW w:w="8399"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主要检查入土端与出土端、露管段、阀室内管道防腐(保温)层的完好情况。检查人员认为有必要时，可对事故后果严重区管道采用检测设备进行地面不开挖检测。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573"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6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944"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B4电性能测试(适用于有阴极保护的管道)</w:t>
            </w:r>
          </w:p>
        </w:tc>
        <w:tc>
          <w:tcPr>
            <w:tcW w:w="8399"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(1)测试绝缘法兰、绝缘接头、绝缘短管、绝缘套、绝缘固定支墩和绝缘垫块等电绝缘装置的绝缘性能；</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(2)对采用法兰和螺纹等非焊接件连接的阀门等管道附件的跨接电缆或者其他电连接设施，测试其电连续性。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1403"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6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944"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B5阴极保护系统测试(适用于有阴极保护的管道)</w:t>
            </w:r>
          </w:p>
        </w:tc>
        <w:tc>
          <w:tcPr>
            <w:tcW w:w="8399"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(1)管道沿线保护电位，测量时应考虑IR(注B-2)降的影响；</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(2)牺牲阳极输出电流、开路电位(当管道保护电位异常时测试)；</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(3)管内电流(当管道保护电位异常时测试)；</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(4)辅助阳极床和牺牲阳极接地电阻(牺牲阳极接地电阻应当在管道保护电位异常时测试)；</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(5)阴极保护系统运行状况，检查管道阴极保护率和运行率、排流效果，阴极保护系统设备及其排流设施。</w:t>
            </w:r>
          </w:p>
          <w:p>
            <w:pPr>
              <w:pStyle w:val="10"/>
              <w:snapToGrid w:val="0"/>
              <w:spacing w:line="240" w:lineRule="auto"/>
              <w:rPr>
                <w:rFonts w:ascii="Times New Roman" w:hAnsi="Times New Roman" w:cs="Times New Roman"/>
                <w:color w:val="auto"/>
                <w:sz w:val="15"/>
                <w:szCs w:val="15"/>
                <w:lang w:eastAsia="zh-CN"/>
              </w:rPr>
            </w:pPr>
            <w:r>
              <w:rPr>
                <w:rFonts w:ascii="Times New Roman" w:hAnsi="Times New Roman" w:cs="Times New Roman"/>
                <w:color w:val="auto"/>
                <w:sz w:val="15"/>
                <w:szCs w:val="15"/>
                <w:lang w:eastAsia="zh-CN"/>
              </w:rPr>
              <w:t>注B-2：管道外防腐(保温)层破损部位的阴极保护电流在土壤介质中产生的电位梯度。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90"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6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944"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B6壁厚测定</w:t>
            </w:r>
          </w:p>
        </w:tc>
        <w:tc>
          <w:tcPr>
            <w:tcW w:w="8399"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利用阀井或者探坑，对重要压力管道或者有明显腐蚀和冲刷减薄的管道进行壁厚抽样测定。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563"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6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944"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B7地质条件调查</w:t>
            </w:r>
          </w:p>
        </w:tc>
        <w:tc>
          <w:tcPr>
            <w:tcW w:w="8399"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按照相应标准的要求，对有危险的矿产地下采空区、黄土湿陷区、潜在崩塌滑坡区、泥石流区、地质沉降区、风蚀沙埋区、膨胀土和盐渍土、活动断层等地质灾害进行地质条件调查。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287" w:hRule="exac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6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944"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B8安全保护装置检验</w:t>
            </w:r>
          </w:p>
        </w:tc>
        <w:tc>
          <w:tcPr>
            <w:tcW w:w="8399"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参照工业管道定期检验等有关要求执行，特殊的安全保护装置参照相应标准的规定。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825" w:hRule="atLeast"/>
        </w:trPr>
        <w:tc>
          <w:tcPr>
            <w:tcW w:w="85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5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6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8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944" w:type="dxa"/>
            <w:gridSpan w:val="2"/>
            <w:shd w:val="clear" w:color="auto" w:fill="FFFFFF"/>
            <w:noWrap/>
            <w:vAlign w:val="center"/>
          </w:tcPr>
          <w:p>
            <w:pPr>
              <w:snapToGrid w:val="0"/>
              <w:jc w:val="center"/>
              <w:rPr>
                <w:rFonts w:ascii="Times New Roman" w:hAnsi="Times New Roman" w:eastAsia="宋体" w:cs="Times New Roman"/>
                <w:color w:val="auto"/>
                <w:sz w:val="18"/>
                <w:szCs w:val="18"/>
                <w:lang w:val="zh-TW" w:eastAsia="zh-TW" w:bidi="zh-TW"/>
              </w:rPr>
            </w:pPr>
            <w:r>
              <w:rPr>
                <w:rFonts w:ascii="Times New Roman" w:hAnsi="Times New Roman" w:eastAsia="宋体" w:cs="Times New Roman"/>
                <w:color w:val="auto"/>
                <w:sz w:val="18"/>
                <w:szCs w:val="18"/>
              </w:rPr>
              <w:t>第十一条</w:t>
            </w:r>
          </w:p>
        </w:tc>
        <w:tc>
          <w:tcPr>
            <w:tcW w:w="8399"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年度检查的现场工作结束后，检查人员应当根据检查结果出具年度检查报告，作出下述检查结论：</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(一)允许使用，检查结果符合有关安全技术规范的规定；</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(二)进行全面检验，发现存在超出有关安全技术规范规定的缺陷，并且不能满足安全使用要求。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Ex>
        <w:trPr>
          <w:trHeight w:val="891" w:hRule="exact"/>
        </w:trPr>
        <w:tc>
          <w:tcPr>
            <w:tcW w:w="857" w:type="dxa"/>
            <w:tcBorders>
              <w:top w:val="single" w:color="auto" w:sz="4" w:space="0"/>
              <w:bottom w:val="single" w:color="auto" w:sz="12"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全面检验</w:t>
            </w:r>
          </w:p>
        </w:tc>
        <w:tc>
          <w:tcPr>
            <w:tcW w:w="955" w:type="dxa"/>
            <w:tcBorders>
              <w:top w:val="single" w:color="auto" w:sz="4" w:space="0"/>
              <w:bottom w:val="single" w:color="auto" w:sz="12"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检验机构</w:t>
            </w:r>
          </w:p>
        </w:tc>
        <w:tc>
          <w:tcPr>
            <w:tcW w:w="760" w:type="dxa"/>
            <w:tcBorders>
              <w:top w:val="single" w:color="auto" w:sz="4" w:space="0"/>
              <w:bottom w:val="single" w:color="auto" w:sz="12"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有资格的检验人员</w:t>
            </w:r>
          </w:p>
        </w:tc>
        <w:tc>
          <w:tcPr>
            <w:tcW w:w="850" w:type="dxa"/>
            <w:tcBorders>
              <w:top w:val="single" w:color="auto" w:sz="4" w:space="0"/>
              <w:bottom w:val="single" w:color="auto" w:sz="12"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按上次检验报告</w:t>
            </w:r>
          </w:p>
        </w:tc>
        <w:tc>
          <w:tcPr>
            <w:tcW w:w="851" w:type="dxa"/>
            <w:vMerge w:val="continue"/>
            <w:tcBorders>
              <w:bottom w:val="single" w:color="auto" w:sz="12" w:space="0"/>
            </w:tcBorders>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c>
          <w:tcPr>
            <w:tcW w:w="1944" w:type="dxa"/>
            <w:gridSpan w:val="2"/>
            <w:tcBorders>
              <w:top w:val="single" w:color="auto" w:sz="4" w:space="0"/>
              <w:bottom w:val="single" w:color="auto" w:sz="12" w:space="0"/>
            </w:tcBorders>
            <w:shd w:val="clear" w:color="auto" w:fill="FFFFFF"/>
            <w:noWrap/>
            <w:vAlign w:val="center"/>
          </w:tcPr>
          <w:p>
            <w:pPr>
              <w:snapToGrid w:val="0"/>
              <w:jc w:val="center"/>
              <w:rPr>
                <w:rFonts w:ascii="Times New Roman" w:hAnsi="Times New Roman" w:eastAsia="宋体" w:cs="Times New Roman"/>
                <w:color w:val="auto"/>
                <w:sz w:val="18"/>
                <w:szCs w:val="18"/>
                <w:lang w:val="zh-TW" w:eastAsia="zh-TW" w:bidi="zh-TW"/>
              </w:rPr>
            </w:pPr>
            <w:r>
              <w:rPr>
                <w:rFonts w:ascii="Times New Roman" w:hAnsi="Times New Roman" w:eastAsia="宋体" w:cs="Times New Roman"/>
                <w:color w:val="auto"/>
                <w:sz w:val="18"/>
                <w:szCs w:val="18"/>
                <w:lang w:val="zh-TW" w:eastAsia="zh-TW" w:bidi="zh-TW"/>
              </w:rPr>
              <w:t>第三章</w:t>
            </w:r>
          </w:p>
        </w:tc>
        <w:tc>
          <w:tcPr>
            <w:tcW w:w="8399" w:type="dxa"/>
            <w:tcBorders>
              <w:top w:val="single" w:color="auto" w:sz="4" w:space="0"/>
              <w:bottom w:val="single" w:color="auto" w:sz="12" w:space="0"/>
            </w:tcBorders>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具体要求按</w:t>
            </w:r>
            <w:r>
              <w:rPr>
                <w:rFonts w:ascii="Times New Roman" w:hAnsi="Times New Roman" w:eastAsia="Times New Roman" w:cs="Times New Roman"/>
                <w:color w:val="auto"/>
                <w:sz w:val="18"/>
                <w:szCs w:val="18"/>
                <w:lang w:val="en-US" w:eastAsia="zh-CN" w:bidi="en-US"/>
              </w:rPr>
              <w:t>TSG D700</w:t>
            </w:r>
            <w:r>
              <w:rPr>
                <w:rFonts w:ascii="Times New Roman" w:hAnsi="Times New Roman" w:cs="Times New Roman"/>
                <w:color w:val="auto"/>
                <w:sz w:val="18"/>
                <w:szCs w:val="18"/>
                <w:lang w:val="en-US" w:eastAsia="zh-CN" w:bidi="en-US"/>
              </w:rPr>
              <w:t>3</w:t>
            </w:r>
            <w:r>
              <w:rPr>
                <w:rFonts w:ascii="Times New Roman" w:hAnsi="Times New Roman" w:eastAsia="Times New Roman" w:cs="Times New Roman"/>
                <w:color w:val="auto"/>
                <w:sz w:val="18"/>
                <w:szCs w:val="18"/>
                <w:lang w:val="en-US" w:eastAsia="zh-CN" w:bidi="en-US"/>
              </w:rPr>
              <w:t>—</w:t>
            </w:r>
            <w:r>
              <w:rPr>
                <w:rFonts w:ascii="Times New Roman" w:hAnsi="Times New Roman" w:eastAsia="Times New Roman" w:cs="Times New Roman"/>
                <w:color w:val="auto"/>
                <w:sz w:val="18"/>
                <w:szCs w:val="18"/>
              </w:rPr>
              <w:t>2010</w:t>
            </w:r>
            <w:r>
              <w:rPr>
                <w:rFonts w:ascii="Times New Roman" w:hAnsi="Times New Roman" w:cs="Times New Roman"/>
                <w:color w:val="auto"/>
                <w:sz w:val="18"/>
                <w:szCs w:val="18"/>
              </w:rPr>
              <w:t>执行。</w:t>
            </w:r>
          </w:p>
        </w:tc>
      </w:tr>
    </w:tbl>
    <w:p>
      <w:pPr>
        <w:snapToGrid w:val="0"/>
        <w:rPr>
          <w:rFonts w:ascii="Times New Roman" w:hAnsi="Times New Roman" w:eastAsia="宋体" w:cs="Times New Roman"/>
          <w:color w:val="auto"/>
          <w:sz w:val="18"/>
          <w:szCs w:val="18"/>
        </w:rPr>
        <w:sectPr>
          <w:headerReference r:id="rId21" w:type="default"/>
          <w:headerReference r:id="rId22" w:type="even"/>
          <w:pgSz w:w="16840" w:h="11900" w:orient="landscape"/>
          <w:pgMar w:top="1134" w:right="1134" w:bottom="1134" w:left="1134" w:header="851" w:footer="851" w:gutter="0"/>
          <w:pgNumType w:fmt="numberInDash"/>
          <w:cols w:space="720" w:num="1"/>
          <w:docGrid w:linePitch="360" w:charSpace="0"/>
        </w:sectPr>
      </w:pPr>
    </w:p>
    <w:p>
      <w:pPr>
        <w:pStyle w:val="10"/>
        <w:snapToGrid w:val="0"/>
        <w:spacing w:line="240" w:lineRule="auto"/>
        <w:jc w:val="center"/>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rPr>
        <w:t xml:space="preserve">附表1  </w:t>
      </w:r>
      <w:r>
        <w:rPr>
          <w:rFonts w:hint="eastAsia" w:ascii="仿宋_GB2312" w:hAnsi="仿宋_GB2312" w:eastAsia="仿宋_GB2312" w:cs="仿宋_GB2312"/>
          <w:b w:val="0"/>
          <w:bCs/>
          <w:color w:val="auto"/>
          <w:sz w:val="30"/>
          <w:szCs w:val="30"/>
          <w:lang w:eastAsia="zh-CN"/>
        </w:rPr>
        <w:t>长输管道经常性维护保养</w:t>
      </w:r>
      <w:r>
        <w:rPr>
          <w:rFonts w:hint="eastAsia" w:ascii="仿宋_GB2312" w:hAnsi="仿宋_GB2312" w:eastAsia="仿宋_GB2312" w:cs="仿宋_GB2312"/>
          <w:b w:val="0"/>
          <w:bCs/>
          <w:color w:val="auto"/>
          <w:sz w:val="30"/>
          <w:szCs w:val="30"/>
        </w:rPr>
        <w:t>记录表格式</w:t>
      </w:r>
    </w:p>
    <w:tbl>
      <w:tblPr>
        <w:tblStyle w:val="8"/>
        <w:tblW w:w="956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594"/>
        <w:gridCol w:w="539"/>
        <w:gridCol w:w="4024"/>
        <w:gridCol w:w="1134"/>
        <w:gridCol w:w="22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54" w:hRule="exact"/>
          <w:jc w:val="center"/>
        </w:trPr>
        <w:tc>
          <w:tcPr>
            <w:tcW w:w="2133"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管线号</w:t>
            </w:r>
          </w:p>
        </w:tc>
        <w:tc>
          <w:tcPr>
            <w:tcW w:w="7428" w:type="dxa"/>
            <w:gridSpan w:val="3"/>
            <w:shd w:val="clear" w:color="auto" w:fill="FFFFFF"/>
            <w:noWrap/>
            <w:vAlign w:val="center"/>
          </w:tcPr>
          <w:p>
            <w:pPr>
              <w:snapToGrid w:val="0"/>
              <w:jc w:val="center"/>
              <w:rPr>
                <w:rFonts w:ascii="Times New Roman" w:hAnsi="Times New Roman" w:eastAsia="黑体" w:cs="Times New Roman"/>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54" w:hRule="exact"/>
          <w:jc w:val="center"/>
        </w:trPr>
        <w:tc>
          <w:tcPr>
            <w:tcW w:w="2133"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lang w:eastAsia="zh-CN"/>
              </w:rPr>
              <w:t>注册</w:t>
            </w:r>
            <w:r>
              <w:rPr>
                <w:rFonts w:ascii="Times New Roman" w:hAnsi="Times New Roman" w:eastAsia="黑体" w:cs="Times New Roman"/>
                <w:b/>
                <w:color w:val="auto"/>
                <w:sz w:val="18"/>
                <w:szCs w:val="18"/>
              </w:rPr>
              <w:t>编号</w:t>
            </w:r>
          </w:p>
        </w:tc>
        <w:tc>
          <w:tcPr>
            <w:tcW w:w="7428" w:type="dxa"/>
            <w:gridSpan w:val="3"/>
            <w:shd w:val="clear" w:color="auto" w:fill="FFFFFF"/>
            <w:noWrap/>
            <w:vAlign w:val="center"/>
          </w:tcPr>
          <w:p>
            <w:pPr>
              <w:snapToGrid w:val="0"/>
              <w:jc w:val="center"/>
              <w:rPr>
                <w:rFonts w:ascii="Times New Roman" w:hAnsi="Times New Roman" w:eastAsia="黑体" w:cs="Times New Roman"/>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54"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项目</w:t>
            </w:r>
          </w:p>
        </w:tc>
        <w:tc>
          <w:tcPr>
            <w:tcW w:w="539"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桩号</w:t>
            </w:r>
          </w:p>
        </w:tc>
        <w:tc>
          <w:tcPr>
            <w:tcW w:w="4024"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检</w:t>
            </w:r>
            <w:r>
              <w:rPr>
                <w:rFonts w:ascii="Times New Roman" w:hAnsi="Times New Roman" w:eastAsia="黑体" w:cs="Times New Roman"/>
                <w:b/>
                <w:color w:val="auto"/>
                <w:sz w:val="18"/>
                <w:szCs w:val="18"/>
                <w:lang w:eastAsia="zh-CN"/>
              </w:rPr>
              <w:t>查</w:t>
            </w:r>
            <w:r>
              <w:rPr>
                <w:rFonts w:ascii="Times New Roman" w:hAnsi="Times New Roman" w:eastAsia="黑体" w:cs="Times New Roman"/>
                <w:b/>
                <w:color w:val="auto"/>
                <w:sz w:val="18"/>
                <w:szCs w:val="18"/>
              </w:rPr>
              <w:t>内容</w:t>
            </w:r>
          </w:p>
        </w:tc>
        <w:tc>
          <w:tcPr>
            <w:tcW w:w="1134"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检查结果</w:t>
            </w:r>
          </w:p>
        </w:tc>
        <w:tc>
          <w:tcPr>
            <w:tcW w:w="2270"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问题记录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54" w:hRule="exact"/>
          <w:jc w:val="center"/>
        </w:trPr>
        <w:tc>
          <w:tcPr>
            <w:tcW w:w="1594"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安全距离</w:t>
            </w:r>
          </w:p>
        </w:tc>
        <w:tc>
          <w:tcPr>
            <w:tcW w:w="539"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种植乔木、灌木、藤类、芦苇、竹子等深根植物</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00" w:hRule="exact"/>
          <w:jc w:val="center"/>
        </w:trPr>
        <w:tc>
          <w:tcPr>
            <w:tcW w:w="1594"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取土、采石、用火、堆放重物、排放腐蚀性物质、使用机械工具进行挖掘施工</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4" w:hRule="exact"/>
          <w:jc w:val="center"/>
        </w:trPr>
        <w:tc>
          <w:tcPr>
            <w:tcW w:w="1594"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挖塘、修渠、修晒场、修建水产养殖场、建温室、建家畜棚圈、建房以及修建其他建筑物、构筑物</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0" w:hRule="exact"/>
          <w:jc w:val="center"/>
        </w:trPr>
        <w:tc>
          <w:tcPr>
            <w:tcW w:w="1594"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居民小区、学校、医院、娱乐场所、车站、商场等人口密集的建筑物</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38" w:hRule="exact"/>
          <w:jc w:val="center"/>
        </w:trPr>
        <w:tc>
          <w:tcPr>
            <w:tcW w:w="1594"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变电站、加油站、加气站、储油罐、储气罐等易燃易爆物品的生产、经营、存储场所</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15" w:hRule="exact"/>
          <w:jc w:val="center"/>
        </w:trPr>
        <w:tc>
          <w:tcPr>
            <w:tcW w:w="1594"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在穿越河流的管道线路中心线两侧各</w:t>
            </w:r>
            <w:r>
              <w:rPr>
                <w:rFonts w:ascii="Times New Roman" w:hAnsi="Times New Roman" w:eastAsia="Times New Roman" w:cs="Times New Roman"/>
                <w:color w:val="auto"/>
                <w:sz w:val="18"/>
                <w:szCs w:val="18"/>
              </w:rPr>
              <w:t xml:space="preserve">500 </w:t>
            </w:r>
            <w:r>
              <w:rPr>
                <w:rFonts w:ascii="Times New Roman" w:hAnsi="Times New Roman" w:eastAsia="Times New Roman" w:cs="Times New Roman"/>
                <w:color w:val="auto"/>
                <w:sz w:val="18"/>
                <w:szCs w:val="18"/>
                <w:lang w:val="en-US" w:eastAsia="zh-CN" w:bidi="en-US"/>
              </w:rPr>
              <w:t>m</w:t>
            </w:r>
            <w:r>
              <w:rPr>
                <w:rFonts w:ascii="Times New Roman" w:hAnsi="Times New Roman" w:cs="Times New Roman"/>
                <w:color w:val="auto"/>
                <w:sz w:val="18"/>
                <w:szCs w:val="18"/>
              </w:rPr>
              <w:t>地域范围内，禁止抛锚、拖锚、挖砂、挖泥、采石、水下爆破</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53" w:hRule="exact"/>
          <w:jc w:val="center"/>
        </w:trPr>
        <w:tc>
          <w:tcPr>
            <w:tcW w:w="1594"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在管道专用隧道中心线两侧各</w:t>
            </w:r>
            <w:r>
              <w:rPr>
                <w:rFonts w:ascii="Times New Roman" w:hAnsi="Times New Roman" w:eastAsia="Times New Roman" w:cs="Times New Roman"/>
                <w:color w:val="auto"/>
                <w:sz w:val="18"/>
                <w:szCs w:val="18"/>
              </w:rPr>
              <w:t>1</w:t>
            </w:r>
            <w:r>
              <w:rPr>
                <w:rFonts w:ascii="Times New Roman" w:hAnsi="Times New Roman" w:eastAsia="Times New Roman" w:cs="Times New Roman"/>
                <w:color w:val="auto"/>
                <w:sz w:val="18"/>
                <w:szCs w:val="18"/>
                <w:lang w:val="en-US" w:eastAsia="zh-CN" w:bidi="en-US"/>
              </w:rPr>
              <w:t>000 m</w:t>
            </w:r>
            <w:r>
              <w:rPr>
                <w:rFonts w:ascii="Times New Roman" w:hAnsi="Times New Roman" w:cs="Times New Roman"/>
                <w:color w:val="auto"/>
                <w:sz w:val="18"/>
                <w:szCs w:val="18"/>
              </w:rPr>
              <w:t>地域范围内，除《石油天然气管道保护法》第二款规定的情形外，禁止采石、采矿、爆破</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09" w:hRule="exact"/>
          <w:jc w:val="center"/>
        </w:trPr>
        <w:tc>
          <w:tcPr>
            <w:tcW w:w="1594"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管道附属设施的上方架设电力线路、通信线路或者在储气库构造区域范围内进行工程挖掘、工程钻探、采矿</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54"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阀门</w:t>
            </w:r>
          </w:p>
        </w:tc>
        <w:tc>
          <w:tcPr>
            <w:tcW w:w="539" w:type="dxa"/>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擅自开启、关闭管道阀门</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28"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第三方破坏</w:t>
            </w:r>
          </w:p>
        </w:tc>
        <w:tc>
          <w:tcPr>
            <w:tcW w:w="539" w:type="dxa"/>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采用移动、切割、打孔、砸撬、拆卸等手段损坏管道</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54"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管道标志</w:t>
            </w:r>
          </w:p>
        </w:tc>
        <w:tc>
          <w:tcPr>
            <w:tcW w:w="539" w:type="dxa"/>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移动、毁损、涂改管道标志</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54" w:hRule="exact"/>
          <w:jc w:val="center"/>
        </w:trPr>
        <w:tc>
          <w:tcPr>
            <w:tcW w:w="1594"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交通</w:t>
            </w:r>
          </w:p>
        </w:tc>
        <w:tc>
          <w:tcPr>
            <w:tcW w:w="539" w:type="dxa"/>
            <w:vMerge w:val="restart"/>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在埋地管道上方巡查便道上行驶重型车辆</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05" w:hRule="exact"/>
          <w:jc w:val="center"/>
        </w:trPr>
        <w:tc>
          <w:tcPr>
            <w:tcW w:w="1594"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539" w:type="dxa"/>
            <w:vMerge w:val="continue"/>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在地面管道线路、架空管道线路和管桥上行走或者放置重物</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70"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泄漏</w:t>
            </w:r>
          </w:p>
        </w:tc>
        <w:tc>
          <w:tcPr>
            <w:tcW w:w="539" w:type="dxa"/>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管道沿线不应有燃气异味、水面冒泡、树草枯萎和油污等异常现象或燃气泄出声响等</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4"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特殊管段</w:t>
            </w:r>
          </w:p>
        </w:tc>
        <w:tc>
          <w:tcPr>
            <w:tcW w:w="539" w:type="dxa"/>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对于特殊地段管道,如穿越跨越处、斜坡地段等，应在暴雨、大风或其他恶劣天气过后有无异常情况</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54"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管道附件</w:t>
            </w:r>
          </w:p>
        </w:tc>
        <w:tc>
          <w:tcPr>
            <w:tcW w:w="539" w:type="dxa"/>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阴保测试桩、标志桩是否无好</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50"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阀门井</w:t>
            </w:r>
          </w:p>
        </w:tc>
        <w:tc>
          <w:tcPr>
            <w:tcW w:w="539" w:type="dxa"/>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应无泄漏、损坏等现象，阀门井内应无积水、塌陷，无妨碍阀门操作的堆积物等，应保持防腐层良好</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54"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架空管段</w:t>
            </w:r>
          </w:p>
        </w:tc>
        <w:tc>
          <w:tcPr>
            <w:tcW w:w="539" w:type="dxa"/>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支吊架是否完好、管道外防腐情况</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54"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其他施工</w:t>
            </w:r>
          </w:p>
        </w:tc>
        <w:tc>
          <w:tcPr>
            <w:tcW w:w="539" w:type="dxa"/>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有无第三方违章施工</w:t>
            </w:r>
          </w:p>
        </w:tc>
        <w:tc>
          <w:tcPr>
            <w:tcW w:w="1134" w:type="dxa"/>
            <w:shd w:val="clear" w:color="auto" w:fill="FFFFFF"/>
            <w:noWrap/>
            <w:vAlign w:val="center"/>
          </w:tcPr>
          <w:p>
            <w:pPr>
              <w:snapToGrid w:val="0"/>
              <w:rPr>
                <w:rFonts w:ascii="Times New Roman" w:hAnsi="Times New Roman" w:cs="Times New Roman"/>
                <w:color w:val="auto"/>
                <w:sz w:val="18"/>
                <w:szCs w:val="18"/>
              </w:rPr>
            </w:pPr>
          </w:p>
        </w:tc>
        <w:tc>
          <w:tcPr>
            <w:tcW w:w="2270" w:type="dxa"/>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54"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其他</w:t>
            </w:r>
          </w:p>
        </w:tc>
        <w:tc>
          <w:tcPr>
            <w:tcW w:w="539" w:type="dxa"/>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snapToGrid w:val="0"/>
              <w:rPr>
                <w:rFonts w:ascii="Times New Roman" w:hAnsi="Times New Roman" w:cs="Times New Roman"/>
                <w:color w:val="auto"/>
                <w:sz w:val="18"/>
                <w:szCs w:val="18"/>
              </w:rPr>
            </w:pP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54" w:hRule="exact"/>
          <w:jc w:val="center"/>
        </w:trPr>
        <w:tc>
          <w:tcPr>
            <w:tcW w:w="2133" w:type="dxa"/>
            <w:gridSpan w:val="2"/>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检查</w:t>
            </w:r>
            <w:r>
              <w:rPr>
                <w:rFonts w:ascii="Times New Roman" w:hAnsi="Times New Roman" w:cs="Times New Roman"/>
                <w:color w:val="auto"/>
                <w:sz w:val="18"/>
                <w:szCs w:val="18"/>
                <w:lang w:eastAsia="zh-CN"/>
              </w:rPr>
              <w:t>(记录)</w:t>
            </w:r>
            <w:r>
              <w:rPr>
                <w:rFonts w:ascii="Times New Roman" w:hAnsi="Times New Roman" w:cs="Times New Roman"/>
                <w:color w:val="auto"/>
                <w:sz w:val="18"/>
                <w:szCs w:val="18"/>
              </w:rPr>
              <w:t>人员</w:t>
            </w:r>
          </w:p>
        </w:tc>
        <w:tc>
          <w:tcPr>
            <w:tcW w:w="4024" w:type="dxa"/>
            <w:shd w:val="clear" w:color="auto" w:fill="FFFFFF"/>
            <w:noWrap/>
            <w:vAlign w:val="center"/>
          </w:tcPr>
          <w:p>
            <w:pPr>
              <w:snapToGrid w:val="0"/>
              <w:rPr>
                <w:rFonts w:ascii="Times New Roman" w:hAnsi="Times New Roman" w:cs="Times New Roman"/>
                <w:color w:val="auto"/>
                <w:sz w:val="18"/>
                <w:szCs w:val="18"/>
              </w:rPr>
            </w:pPr>
          </w:p>
        </w:tc>
        <w:tc>
          <w:tcPr>
            <w:tcW w:w="3404"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日期：</w:t>
            </w:r>
          </w:p>
        </w:tc>
      </w:tr>
    </w:tbl>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注：</w:t>
      </w:r>
      <w:r>
        <w:rPr>
          <w:rFonts w:ascii="Times New Roman" w:hAnsi="Times New Roman" w:eastAsia="Times New Roman" w:cs="Times New Roman"/>
          <w:color w:val="auto"/>
          <w:sz w:val="18"/>
          <w:szCs w:val="18"/>
          <w:lang w:val="en-US" w:eastAsia="zh-CN" w:bidi="en-US"/>
        </w:rPr>
        <w:t>1.</w:t>
      </w:r>
      <w:r>
        <w:rPr>
          <w:rFonts w:ascii="Times New Roman" w:hAnsi="Times New Roman" w:cs="Times New Roman"/>
          <w:color w:val="auto"/>
          <w:sz w:val="18"/>
          <w:szCs w:val="18"/>
        </w:rPr>
        <w:t>本记录表为建议表格，使用单位可根据本单位实际情况或须巡线的内容重新制定表格。</w:t>
      </w:r>
    </w:p>
    <w:p>
      <w:pPr>
        <w:pStyle w:val="11"/>
        <w:snapToGrid w:val="0"/>
        <w:ind w:firstLine="0"/>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 xml:space="preserve">2. </w:t>
      </w:r>
      <w:r>
        <w:rPr>
          <w:rFonts w:ascii="Times New Roman" w:hAnsi="Times New Roman" w:cs="Times New Roman"/>
          <w:color w:val="auto"/>
          <w:sz w:val="18"/>
          <w:szCs w:val="18"/>
        </w:rPr>
        <w:t>巡线项目和内容可根据使用单位实际情况作出调整。</w:t>
      </w:r>
    </w:p>
    <w:p>
      <w:pPr>
        <w:widowControl/>
        <w:jc w:val="left"/>
        <w:rPr>
          <w:rFonts w:ascii="Times New Roman" w:hAnsi="Times New Roman" w:eastAsia="黑体" w:cs="Times New Roman"/>
          <w:b/>
          <w:color w:val="auto"/>
          <w:szCs w:val="21"/>
          <w:lang w:val="zh-TW" w:eastAsia="zh-TW" w:bidi="zh-TW"/>
        </w:rPr>
      </w:pPr>
      <w:r>
        <w:rPr>
          <w:rFonts w:ascii="Times New Roman" w:hAnsi="Times New Roman" w:eastAsia="黑体" w:cs="Times New Roman"/>
          <w:b/>
          <w:color w:val="auto"/>
          <w:szCs w:val="21"/>
        </w:rPr>
        <w:br w:type="page"/>
      </w:r>
    </w:p>
    <w:p>
      <w:pPr>
        <w:pStyle w:val="9"/>
        <w:snapToGrid w:val="0"/>
        <w:spacing w:beforeLines="50" w:afterLines="50" w:line="240" w:lineRule="auto"/>
        <w:jc w:val="center"/>
        <w:rPr>
          <w:rFonts w:ascii="Times New Roman" w:hAnsi="Times New Roman" w:eastAsia="黑体" w:cs="Times New Roman"/>
          <w:b/>
          <w:color w:val="auto"/>
          <w:sz w:val="21"/>
          <w:szCs w:val="21"/>
        </w:rPr>
      </w:pPr>
    </w:p>
    <w:p>
      <w:pPr>
        <w:pStyle w:val="10"/>
        <w:snapToGrid w:val="0"/>
        <w:spacing w:line="240" w:lineRule="auto"/>
        <w:jc w:val="center"/>
        <w:rPr>
          <w:rFonts w:hint="eastAsia" w:ascii="仿宋_GB2312" w:hAnsi="仿宋_GB2312" w:eastAsia="仿宋_GB2312" w:cs="仿宋_GB2312"/>
          <w:b w:val="0"/>
          <w:bCs/>
          <w:color w:val="auto"/>
          <w:sz w:val="30"/>
          <w:szCs w:val="30"/>
          <w:lang w:eastAsia="zh-CN"/>
        </w:rPr>
      </w:pPr>
      <w:r>
        <w:rPr>
          <w:rFonts w:hint="eastAsia" w:ascii="仿宋_GB2312" w:hAnsi="仿宋_GB2312" w:eastAsia="仿宋_GB2312" w:cs="仿宋_GB2312"/>
          <w:b w:val="0"/>
          <w:bCs/>
          <w:color w:val="auto"/>
          <w:sz w:val="30"/>
          <w:szCs w:val="30"/>
        </w:rPr>
        <w:t>附表</w:t>
      </w:r>
      <w:r>
        <w:rPr>
          <w:rFonts w:hint="eastAsia" w:ascii="仿宋_GB2312" w:hAnsi="仿宋_GB2312" w:eastAsia="仿宋_GB2312" w:cs="仿宋_GB2312"/>
          <w:b w:val="0"/>
          <w:bCs/>
          <w:color w:val="auto"/>
          <w:sz w:val="30"/>
          <w:szCs w:val="30"/>
          <w:lang w:eastAsia="zh-CN"/>
        </w:rPr>
        <w:t>2长输管道定期检测</w:t>
      </w:r>
      <w:r>
        <w:rPr>
          <w:rFonts w:hint="eastAsia" w:ascii="仿宋_GB2312" w:hAnsi="仿宋_GB2312" w:eastAsia="仿宋_GB2312" w:cs="仿宋_GB2312"/>
          <w:b w:val="0"/>
          <w:bCs/>
          <w:color w:val="auto"/>
          <w:sz w:val="30"/>
          <w:szCs w:val="30"/>
        </w:rPr>
        <w:t>记录表格式</w:t>
      </w:r>
    </w:p>
    <w:tbl>
      <w:tblPr>
        <w:tblStyle w:val="8"/>
        <w:tblW w:w="956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594"/>
        <w:gridCol w:w="539"/>
        <w:gridCol w:w="4024"/>
        <w:gridCol w:w="1134"/>
        <w:gridCol w:w="22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2133"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管线号</w:t>
            </w:r>
          </w:p>
        </w:tc>
        <w:tc>
          <w:tcPr>
            <w:tcW w:w="7428" w:type="dxa"/>
            <w:gridSpan w:val="3"/>
            <w:shd w:val="clear" w:color="auto" w:fill="FFFFFF"/>
            <w:noWrap/>
            <w:vAlign w:val="center"/>
          </w:tcPr>
          <w:p>
            <w:pPr>
              <w:snapToGrid w:val="0"/>
              <w:jc w:val="center"/>
              <w:rPr>
                <w:rFonts w:ascii="Times New Roman" w:hAnsi="Times New Roman" w:eastAsia="黑体" w:cs="Times New Roman"/>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2133"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lang w:eastAsia="zh-CN"/>
              </w:rPr>
              <w:t>注册</w:t>
            </w:r>
            <w:r>
              <w:rPr>
                <w:rFonts w:ascii="Times New Roman" w:hAnsi="Times New Roman" w:eastAsia="黑体" w:cs="Times New Roman"/>
                <w:b/>
                <w:color w:val="auto"/>
                <w:sz w:val="18"/>
                <w:szCs w:val="18"/>
              </w:rPr>
              <w:t>编号</w:t>
            </w:r>
          </w:p>
        </w:tc>
        <w:tc>
          <w:tcPr>
            <w:tcW w:w="7428" w:type="dxa"/>
            <w:gridSpan w:val="3"/>
            <w:shd w:val="clear" w:color="auto" w:fill="FFFFFF"/>
            <w:noWrap/>
            <w:vAlign w:val="center"/>
          </w:tcPr>
          <w:p>
            <w:pPr>
              <w:snapToGrid w:val="0"/>
              <w:jc w:val="center"/>
              <w:rPr>
                <w:rFonts w:ascii="Times New Roman" w:hAnsi="Times New Roman" w:eastAsia="黑体" w:cs="Times New Roman"/>
                <w:b/>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检测项目</w:t>
            </w:r>
          </w:p>
        </w:tc>
        <w:tc>
          <w:tcPr>
            <w:tcW w:w="539"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检测时间</w:t>
            </w:r>
          </w:p>
        </w:tc>
        <w:tc>
          <w:tcPr>
            <w:tcW w:w="4024"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检</w:t>
            </w:r>
            <w:r>
              <w:rPr>
                <w:rFonts w:ascii="Times New Roman" w:hAnsi="Times New Roman" w:eastAsia="黑体" w:cs="Times New Roman"/>
                <w:b/>
                <w:color w:val="auto"/>
                <w:sz w:val="18"/>
                <w:szCs w:val="18"/>
                <w:lang w:eastAsia="zh-CN"/>
              </w:rPr>
              <w:t>测</w:t>
            </w:r>
            <w:r>
              <w:rPr>
                <w:rFonts w:ascii="Times New Roman" w:hAnsi="Times New Roman" w:eastAsia="黑体" w:cs="Times New Roman"/>
                <w:b/>
                <w:color w:val="auto"/>
                <w:sz w:val="18"/>
                <w:szCs w:val="18"/>
              </w:rPr>
              <w:t>内容</w:t>
            </w:r>
          </w:p>
        </w:tc>
        <w:tc>
          <w:tcPr>
            <w:tcW w:w="1134"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检查结果</w:t>
            </w:r>
          </w:p>
        </w:tc>
        <w:tc>
          <w:tcPr>
            <w:tcW w:w="2270"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问题记录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36"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土壤腐蚀性调查</w:t>
            </w:r>
          </w:p>
        </w:tc>
        <w:tc>
          <w:tcPr>
            <w:tcW w:w="5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4024" w:type="dxa"/>
            <w:shd w:val="clear" w:color="auto" w:fill="FFFFFF"/>
            <w:noWrap/>
            <w:vAlign w:val="center"/>
          </w:tcPr>
          <w:p>
            <w:pPr>
              <w:pStyle w:val="11"/>
              <w:snapToGrid w:val="0"/>
              <w:ind w:firstLine="0"/>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土壤电阻率、管道自然腐蚀电位、氧化还原电位、PH值、土壤质地、土壤含水量、土壤总含盐量、Cl¯%</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11"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杂散电流</w:t>
            </w:r>
          </w:p>
        </w:tc>
        <w:tc>
          <w:tcPr>
            <w:tcW w:w="5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4024" w:type="dxa"/>
            <w:shd w:val="clear" w:color="auto" w:fill="FFFFFF"/>
            <w:noWrap/>
            <w:vAlign w:val="center"/>
          </w:tcPr>
          <w:p>
            <w:pPr>
              <w:pStyle w:val="11"/>
              <w:snapToGrid w:val="0"/>
              <w:ind w:firstLine="0"/>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交流杂散电流、直流杂散电流</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11" w:hRule="exact"/>
          <w:jc w:val="center"/>
        </w:trPr>
        <w:tc>
          <w:tcPr>
            <w:tcW w:w="1594" w:type="dxa"/>
            <w:shd w:val="clear" w:color="auto" w:fill="FFFFFF"/>
            <w:noWrap/>
            <w:vAlign w:val="center"/>
          </w:tcPr>
          <w:p>
            <w:pPr>
              <w:pStyle w:val="11"/>
              <w:snapToGrid w:val="0"/>
              <w:ind w:firstLine="0"/>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外防腐层</w:t>
            </w:r>
          </w:p>
        </w:tc>
        <w:tc>
          <w:tcPr>
            <w:tcW w:w="539" w:type="dxa"/>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1"/>
              <w:snapToGrid w:val="0"/>
              <w:ind w:firstLine="0"/>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防腐层破损点</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11" w:hRule="exact"/>
          <w:jc w:val="center"/>
        </w:trPr>
        <w:tc>
          <w:tcPr>
            <w:tcW w:w="1594"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阴极保护</w:t>
            </w:r>
          </w:p>
        </w:tc>
        <w:tc>
          <w:tcPr>
            <w:tcW w:w="539" w:type="dxa"/>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1"/>
              <w:snapToGrid w:val="0"/>
              <w:ind w:firstLine="0"/>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强制电流性能测试</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11" w:hRule="exact"/>
          <w:jc w:val="center"/>
        </w:trPr>
        <w:tc>
          <w:tcPr>
            <w:tcW w:w="1594"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539" w:type="dxa"/>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牺牲阳极性能测试</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11"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排流装置</w:t>
            </w:r>
          </w:p>
        </w:tc>
        <w:tc>
          <w:tcPr>
            <w:tcW w:w="539" w:type="dxa"/>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2"/>
              <w:snapToGrid w:val="0"/>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排流检测</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11" w:hRule="exact"/>
          <w:jc w:val="center"/>
        </w:trPr>
        <w:tc>
          <w:tcPr>
            <w:tcW w:w="1594" w:type="dxa"/>
            <w:shd w:val="clear" w:color="auto" w:fill="FFFFFF"/>
            <w:noWrap/>
            <w:vAlign w:val="center"/>
          </w:tcPr>
          <w:p>
            <w:pPr>
              <w:pStyle w:val="12"/>
              <w:snapToGrid w:val="0"/>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开挖</w:t>
            </w:r>
          </w:p>
        </w:tc>
        <w:tc>
          <w:tcPr>
            <w:tcW w:w="539" w:type="dxa"/>
            <w:shd w:val="clear" w:color="auto" w:fill="FFFFFF"/>
            <w:noWrap/>
            <w:vAlign w:val="center"/>
          </w:tcPr>
          <w:p>
            <w:pPr>
              <w:jc w:val="center"/>
              <w:rPr>
                <w:rFonts w:ascii="Times New Roman" w:hAnsi="Times New Roman" w:cs="Times New Roman"/>
                <w:color w:val="auto"/>
              </w:rPr>
            </w:pPr>
          </w:p>
        </w:tc>
        <w:tc>
          <w:tcPr>
            <w:tcW w:w="4024" w:type="dxa"/>
            <w:shd w:val="clear" w:color="auto" w:fill="FFFFFF"/>
            <w:noWrap/>
            <w:vAlign w:val="center"/>
          </w:tcPr>
          <w:p>
            <w:pPr>
              <w:pStyle w:val="12"/>
              <w:snapToGrid w:val="0"/>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防腐层破损点、防腐层厚度、管道剩余壁厚等</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08" w:hRule="exact"/>
          <w:jc w:val="center"/>
        </w:trPr>
        <w:tc>
          <w:tcPr>
            <w:tcW w:w="1594" w:type="dxa"/>
            <w:shd w:val="clear" w:color="auto" w:fill="FFFFFF"/>
            <w:noWrap/>
            <w:vAlign w:val="center"/>
          </w:tcPr>
          <w:p>
            <w:pPr>
              <w:pStyle w:val="12"/>
              <w:snapToGrid w:val="0"/>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绝缘性能</w:t>
            </w:r>
          </w:p>
        </w:tc>
        <w:tc>
          <w:tcPr>
            <w:tcW w:w="539" w:type="dxa"/>
            <w:shd w:val="clear" w:color="auto" w:fill="FFFFFF"/>
            <w:noWrap/>
            <w:vAlign w:val="center"/>
          </w:tcPr>
          <w:p>
            <w:pPr>
              <w:snapToGrid w:val="0"/>
              <w:jc w:val="center"/>
              <w:rPr>
                <w:rFonts w:ascii="Times New Roman" w:hAnsi="Times New Roman" w:eastAsia="宋体" w:cs="Times New Roman"/>
                <w:color w:val="auto"/>
                <w:sz w:val="18"/>
                <w:szCs w:val="18"/>
              </w:rPr>
            </w:pPr>
          </w:p>
        </w:tc>
        <w:tc>
          <w:tcPr>
            <w:tcW w:w="4024" w:type="dxa"/>
            <w:shd w:val="clear" w:color="auto" w:fill="FFFFFF"/>
            <w:noWrap/>
            <w:vAlign w:val="center"/>
          </w:tcPr>
          <w:p>
            <w:pPr>
              <w:pStyle w:val="12"/>
              <w:snapToGrid w:val="0"/>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绝缘接头、绝缘法兰性能</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08"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无损检测</w:t>
            </w:r>
          </w:p>
        </w:tc>
        <w:tc>
          <w:tcPr>
            <w:tcW w:w="539" w:type="dxa"/>
            <w:shd w:val="clear" w:color="auto" w:fill="FFFFFF"/>
            <w:noWrap/>
            <w:vAlign w:val="center"/>
          </w:tcPr>
          <w:p>
            <w:pPr>
              <w:snapToGrid w:val="0"/>
              <w:jc w:val="center"/>
              <w:rPr>
                <w:rFonts w:ascii="Times New Roman" w:hAnsi="Times New Roman" w:eastAsia="宋体" w:cs="Times New Roman"/>
                <w:color w:val="auto"/>
                <w:sz w:val="18"/>
                <w:szCs w:val="18"/>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结合挖坑检查、露管段检测</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08" w:hRule="exact"/>
          <w:jc w:val="center"/>
        </w:trPr>
        <w:tc>
          <w:tcPr>
            <w:tcW w:w="159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管道内检测</w:t>
            </w:r>
          </w:p>
        </w:tc>
        <w:tc>
          <w:tcPr>
            <w:tcW w:w="539" w:type="dxa"/>
            <w:shd w:val="clear" w:color="auto" w:fill="FFFFFF"/>
            <w:noWrap/>
            <w:vAlign w:val="center"/>
          </w:tcPr>
          <w:p>
            <w:pPr>
              <w:snapToGrid w:val="0"/>
              <w:jc w:val="center"/>
              <w:rPr>
                <w:rFonts w:ascii="Times New Roman" w:hAnsi="Times New Roman" w:eastAsia="宋体" w:cs="Times New Roman"/>
                <w:color w:val="auto"/>
                <w:sz w:val="18"/>
                <w:szCs w:val="18"/>
              </w:rPr>
            </w:pPr>
          </w:p>
        </w:tc>
        <w:tc>
          <w:tcPr>
            <w:tcW w:w="4024"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管道内部腐蚀情况和缺陷检测</w:t>
            </w:r>
          </w:p>
        </w:tc>
        <w:tc>
          <w:tcPr>
            <w:tcW w:w="1134" w:type="dxa"/>
            <w:shd w:val="clear" w:color="auto" w:fill="FFFFFF"/>
            <w:noWrap/>
            <w:vAlign w:val="top"/>
          </w:tcPr>
          <w:p>
            <w:pPr>
              <w:snapToGrid w:val="0"/>
              <w:rPr>
                <w:rFonts w:ascii="Times New Roman" w:hAnsi="Times New Roman" w:cs="Times New Roman"/>
                <w:color w:val="auto"/>
                <w:sz w:val="18"/>
                <w:szCs w:val="18"/>
              </w:rPr>
            </w:pPr>
          </w:p>
        </w:tc>
        <w:tc>
          <w:tcPr>
            <w:tcW w:w="2270" w:type="dxa"/>
            <w:shd w:val="clear" w:color="auto" w:fill="FFFFFF"/>
            <w:noWrap/>
            <w:vAlign w:val="top"/>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14" w:hRule="exact"/>
          <w:jc w:val="center"/>
        </w:trPr>
        <w:tc>
          <w:tcPr>
            <w:tcW w:w="2133" w:type="dxa"/>
            <w:gridSpan w:val="2"/>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检查</w:t>
            </w:r>
            <w:r>
              <w:rPr>
                <w:rFonts w:ascii="Times New Roman" w:hAnsi="Times New Roman" w:cs="Times New Roman"/>
                <w:color w:val="auto"/>
                <w:sz w:val="18"/>
                <w:szCs w:val="18"/>
                <w:lang w:eastAsia="zh-CN"/>
              </w:rPr>
              <w:t>(记录)</w:t>
            </w:r>
            <w:r>
              <w:rPr>
                <w:rFonts w:ascii="Times New Roman" w:hAnsi="Times New Roman" w:cs="Times New Roman"/>
                <w:color w:val="auto"/>
                <w:sz w:val="18"/>
                <w:szCs w:val="18"/>
              </w:rPr>
              <w:t>人员</w:t>
            </w:r>
          </w:p>
        </w:tc>
        <w:tc>
          <w:tcPr>
            <w:tcW w:w="4024" w:type="dxa"/>
            <w:shd w:val="clear" w:color="auto" w:fill="FFFFFF"/>
            <w:noWrap/>
            <w:vAlign w:val="center"/>
          </w:tcPr>
          <w:p>
            <w:pPr>
              <w:snapToGrid w:val="0"/>
              <w:rPr>
                <w:rFonts w:ascii="Times New Roman" w:hAnsi="Times New Roman" w:cs="Times New Roman"/>
                <w:color w:val="auto"/>
                <w:sz w:val="18"/>
                <w:szCs w:val="18"/>
              </w:rPr>
            </w:pPr>
          </w:p>
        </w:tc>
        <w:tc>
          <w:tcPr>
            <w:tcW w:w="3404" w:type="dxa"/>
            <w:gridSpan w:val="2"/>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日期：</w:t>
            </w:r>
          </w:p>
        </w:tc>
      </w:tr>
    </w:tbl>
    <w:p>
      <w:pPr>
        <w:pStyle w:val="11"/>
        <w:snapToGrid w:val="0"/>
        <w:ind w:firstLine="0"/>
        <w:rPr>
          <w:rFonts w:ascii="Times New Roman" w:hAnsi="Times New Roman" w:cs="Times New Roman"/>
          <w:color w:val="auto"/>
          <w:sz w:val="18"/>
          <w:szCs w:val="18"/>
        </w:rPr>
      </w:pPr>
      <w:r>
        <w:rPr>
          <w:rFonts w:ascii="Times New Roman" w:hAnsi="Times New Roman" w:cs="Times New Roman"/>
          <w:color w:val="auto"/>
          <w:sz w:val="18"/>
          <w:szCs w:val="18"/>
        </w:rPr>
        <w:t>注：</w:t>
      </w:r>
      <w:r>
        <w:rPr>
          <w:rFonts w:ascii="Times New Roman" w:hAnsi="Times New Roman" w:eastAsia="Times New Roman" w:cs="Times New Roman"/>
          <w:color w:val="auto"/>
          <w:sz w:val="18"/>
          <w:szCs w:val="18"/>
          <w:lang w:val="en-US" w:eastAsia="zh-CN" w:bidi="en-US"/>
        </w:rPr>
        <w:t>1.</w:t>
      </w:r>
      <w:r>
        <w:rPr>
          <w:rFonts w:ascii="Times New Roman" w:hAnsi="Times New Roman" w:cs="Times New Roman"/>
          <w:color w:val="auto"/>
          <w:sz w:val="18"/>
          <w:szCs w:val="18"/>
        </w:rPr>
        <w:t>本记录表为建议表格，使用单位可根据本单位实际情况或须检测的内容重新制定表格。</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2.</w:t>
      </w:r>
      <w:r>
        <w:rPr>
          <w:rFonts w:ascii="Times New Roman" w:hAnsi="Times New Roman" w:cs="Times New Roman"/>
          <w:color w:val="auto"/>
          <w:sz w:val="18"/>
          <w:szCs w:val="18"/>
        </w:rPr>
        <w:t>检测项目和内容可根据使用单位实际情况作出调整。</w:t>
      </w:r>
    </w:p>
    <w:p>
      <w:pPr>
        <w:snapToGrid w:val="0"/>
        <w:rPr>
          <w:rFonts w:ascii="Times New Roman" w:hAnsi="Times New Roman" w:eastAsia="宋体" w:cs="Times New Roman"/>
          <w:color w:val="auto"/>
          <w:sz w:val="18"/>
          <w:szCs w:val="18"/>
        </w:rPr>
        <w:sectPr>
          <w:pgSz w:w="11900" w:h="16840"/>
          <w:pgMar w:top="1134" w:right="1134" w:bottom="1134" w:left="1134" w:header="851" w:footer="851" w:gutter="0"/>
          <w:pgNumType w:fmt="numberInDash"/>
          <w:cols w:space="720" w:num="1"/>
          <w:docGrid w:linePitch="360" w:charSpace="0"/>
        </w:sect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auto"/>
          <w:kern w:val="2"/>
          <w:sz w:val="32"/>
          <w:szCs w:val="32"/>
          <w:lang w:val="zh-TW" w:eastAsia="zh-TW" w:bidi="zh-TW"/>
        </w:rPr>
      </w:pPr>
      <w:r>
        <w:rPr>
          <w:rFonts w:hint="eastAsia" w:ascii="方正小标宋简体" w:hAnsi="方正小标宋简体" w:eastAsia="方正小标宋简体" w:cs="方正小标宋简体"/>
          <w:b w:val="0"/>
          <w:bCs/>
          <w:color w:val="auto"/>
          <w:kern w:val="2"/>
          <w:sz w:val="32"/>
          <w:szCs w:val="32"/>
          <w:lang w:val="zh-TW" w:eastAsia="zh-TW" w:bidi="zh-TW"/>
        </w:rPr>
        <w:t>表</w:t>
      </w:r>
      <w:r>
        <w:rPr>
          <w:rFonts w:hint="eastAsia" w:ascii="方正小标宋简体" w:hAnsi="方正小标宋简体" w:eastAsia="方正小标宋简体" w:cs="方正小标宋简体"/>
          <w:b w:val="0"/>
          <w:bCs/>
          <w:color w:val="auto"/>
          <w:kern w:val="2"/>
          <w:sz w:val="32"/>
          <w:szCs w:val="32"/>
          <w:lang w:val="en-US" w:eastAsia="zh-CN" w:bidi="zh-TW"/>
        </w:rPr>
        <w:t>B.10</w:t>
      </w:r>
      <w:r>
        <w:rPr>
          <w:rFonts w:hint="eastAsia" w:ascii="方正小标宋简体" w:hAnsi="方正小标宋简体" w:eastAsia="方正小标宋简体" w:cs="方正小标宋简体"/>
          <w:b w:val="0"/>
          <w:bCs/>
          <w:color w:val="auto"/>
          <w:kern w:val="2"/>
          <w:sz w:val="32"/>
          <w:szCs w:val="32"/>
          <w:lang w:val="zh-TW" w:eastAsia="zh-TW" w:bidi="zh-TW"/>
        </w:rPr>
        <w:t>特种设备</w:t>
      </w:r>
      <w:r>
        <w:rPr>
          <w:rFonts w:hint="eastAsia" w:ascii="方正小标宋简体" w:hAnsi="方正小标宋简体" w:eastAsia="方正小标宋简体" w:cs="方正小标宋简体"/>
          <w:b w:val="0"/>
          <w:bCs/>
          <w:color w:val="auto"/>
          <w:kern w:val="2"/>
          <w:sz w:val="32"/>
          <w:szCs w:val="32"/>
          <w:lang w:val="zh-TW" w:eastAsia="zh-CN" w:bidi="zh-TW"/>
        </w:rPr>
        <w:t>隐患排查清单——电梯专项</w:t>
      </w:r>
      <w:r>
        <w:rPr>
          <w:rFonts w:hint="eastAsia" w:ascii="方正小标宋简体" w:hAnsi="方正小标宋简体" w:eastAsia="方正小标宋简体" w:cs="方正小标宋简体"/>
          <w:b w:val="0"/>
          <w:bCs/>
          <w:color w:val="auto"/>
          <w:kern w:val="2"/>
          <w:sz w:val="32"/>
          <w:szCs w:val="32"/>
          <w:lang w:val="zh-TW" w:eastAsia="zh-TW" w:bidi="zh-TW"/>
        </w:rPr>
        <w:t>要求</w:t>
      </w:r>
    </w:p>
    <w:tbl>
      <w:tblPr>
        <w:tblStyle w:val="8"/>
        <w:tblW w:w="1496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45"/>
        <w:gridCol w:w="709"/>
        <w:gridCol w:w="709"/>
        <w:gridCol w:w="709"/>
        <w:gridCol w:w="1275"/>
        <w:gridCol w:w="851"/>
        <w:gridCol w:w="9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70" w:hRule="exact"/>
          <w:jc w:val="center"/>
        </w:trPr>
        <w:tc>
          <w:tcPr>
            <w:tcW w:w="1245"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排查内容</w:t>
            </w:r>
          </w:p>
        </w:tc>
        <w:tc>
          <w:tcPr>
            <w:tcW w:w="709"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实施</w:t>
            </w:r>
          </w:p>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单位</w:t>
            </w:r>
          </w:p>
        </w:tc>
        <w:tc>
          <w:tcPr>
            <w:tcW w:w="709"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排查人</w:t>
            </w:r>
          </w:p>
        </w:tc>
        <w:tc>
          <w:tcPr>
            <w:tcW w:w="709"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rPr>
              <w:t>排查</w:t>
            </w:r>
          </w:p>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时间</w:t>
            </w:r>
          </w:p>
        </w:tc>
        <w:tc>
          <w:tcPr>
            <w:tcW w:w="2126"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排查依据</w:t>
            </w:r>
          </w:p>
        </w:tc>
        <w:tc>
          <w:tcPr>
            <w:tcW w:w="9465"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83" w:hRule="exact"/>
          <w:jc w:val="center"/>
        </w:trPr>
        <w:tc>
          <w:tcPr>
            <w:tcW w:w="1245"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1275"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法规</w:t>
            </w:r>
            <w:r>
              <w:rPr>
                <w:rFonts w:ascii="Times New Roman" w:hAnsi="Times New Roman" w:eastAsia="黑体" w:cs="Times New Roman"/>
                <w:b/>
                <w:color w:val="auto"/>
                <w:sz w:val="18"/>
                <w:szCs w:val="18"/>
              </w:rPr>
              <w:t>标准</w:t>
            </w:r>
          </w:p>
        </w:tc>
        <w:tc>
          <w:tcPr>
            <w:tcW w:w="851"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适用条款</w:t>
            </w:r>
          </w:p>
        </w:tc>
        <w:tc>
          <w:tcPr>
            <w:tcW w:w="9465" w:type="dxa"/>
            <w:vMerge w:val="continue"/>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651" w:hRule="exact"/>
          <w:jc w:val="center"/>
        </w:trPr>
        <w:tc>
          <w:tcPr>
            <w:tcW w:w="124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19" w:name="_Hlk53691173"/>
            <w:r>
              <w:rPr>
                <w:rFonts w:ascii="Times New Roman" w:hAnsi="Times New Roman" w:cs="Times New Roman"/>
                <w:color w:val="auto"/>
                <w:sz w:val="18"/>
                <w:szCs w:val="18"/>
              </w:rPr>
              <w:t>使用管理</w:t>
            </w:r>
            <w:bookmarkEnd w:id="19"/>
          </w:p>
        </w:tc>
        <w:tc>
          <w:tcPr>
            <w:tcW w:w="709"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709"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安全管理员</w:t>
            </w:r>
          </w:p>
        </w:tc>
        <w:tc>
          <w:tcPr>
            <w:tcW w:w="709"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每年至</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少一次</w:t>
            </w:r>
          </w:p>
        </w:tc>
        <w:tc>
          <w:tcPr>
            <w:tcW w:w="127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电梯监督检验和定期检验规则——曳引与强制驱动电梯</w:t>
            </w:r>
            <w:r>
              <w:rPr>
                <w:rFonts w:ascii="Times New Roman" w:hAnsi="Times New Roman" w:eastAsia="Times New Roman" w:cs="Times New Roman"/>
                <w:color w:val="auto"/>
                <w:sz w:val="18"/>
                <w:szCs w:val="18"/>
                <w:lang w:val="en-US" w:eastAsia="zh-CN" w:bidi="en-US"/>
              </w:rPr>
              <w:t>(TSG T7001</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rPr>
              <w:t xml:space="preserve">2009) </w:t>
            </w:r>
            <w:r>
              <w:rPr>
                <w:rFonts w:ascii="Times New Roman" w:hAnsi="Times New Roman" w:cs="Times New Roman"/>
                <w:color w:val="auto"/>
                <w:sz w:val="18"/>
                <w:szCs w:val="18"/>
              </w:rPr>
              <w:t>等相关安全技术规范</w:t>
            </w: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1.4</w:t>
            </w:r>
          </w:p>
        </w:tc>
        <w:tc>
          <w:tcPr>
            <w:tcW w:w="9465" w:type="dxa"/>
            <w:shd w:val="clear" w:color="auto" w:fill="FFFFFF"/>
            <w:noWrap/>
            <w:vAlign w:val="center"/>
          </w:tcPr>
          <w:p>
            <w:pPr>
              <w:pStyle w:val="10"/>
              <w:numPr>
                <w:ilvl w:val="0"/>
                <w:numId w:val="48"/>
              </w:numPr>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使用登记资料，内容与实物相符；</w:t>
            </w:r>
          </w:p>
          <w:p>
            <w:pPr>
              <w:pStyle w:val="10"/>
              <w:numPr>
                <w:ilvl w:val="0"/>
                <w:numId w:val="48"/>
              </w:numPr>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技术档案，至少包括安装、改造、重大维修的有关资料、报告、以及监督检验报告、定期检验报告、日常检查与使用状况记录、日常维护保养记录、年度自行检查记录或者报告、应急救援演习记录、运行故障和事故记录等，保存完好；</w:t>
            </w:r>
          </w:p>
          <w:p>
            <w:pPr>
              <w:pStyle w:val="10"/>
              <w:numPr>
                <w:ilvl w:val="0"/>
                <w:numId w:val="48"/>
              </w:numPr>
              <w:tabs>
                <w:tab w:val="left" w:pos="34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以岗位责任制为核心的电梯运行管理规章制度，包括事故与故障的应急措施和救援预案、电梯钥匙使用管理制度等；</w:t>
            </w:r>
          </w:p>
          <w:p>
            <w:pPr>
              <w:pStyle w:val="10"/>
              <w:numPr>
                <w:ilvl w:val="0"/>
                <w:numId w:val="48"/>
              </w:numPr>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与取得相应资格单位签订的日常维护保养合同；</w:t>
            </w:r>
          </w:p>
          <w:p>
            <w:pPr>
              <w:pStyle w:val="10"/>
              <w:numPr>
                <w:ilvl w:val="0"/>
                <w:numId w:val="49"/>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按照规定配备的电梯安全管理和作业人员的特种设备作业人员证；</w:t>
            </w:r>
          </w:p>
          <w:p>
            <w:pPr>
              <w:pStyle w:val="10"/>
              <w:numPr>
                <w:ilvl w:val="0"/>
                <w:numId w:val="49"/>
              </w:numPr>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供电电源、防火前室、井道防火、机房防火、底坑排水设施等符合要求的有关证明材料；(适用于消防员电梯)</w:t>
            </w:r>
          </w:p>
          <w:p>
            <w:pPr>
              <w:pStyle w:val="10"/>
              <w:numPr>
                <w:ilvl w:val="0"/>
                <w:numId w:val="49"/>
              </w:numPr>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防爆电梯所在区域的爆炸危险区域划分图或者说明资料，以及主要燃爆物质的化学名称或者防爆等级(级别、组别)。(适用于防爆电梯)</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安全技术档案目录</w:t>
            </w:r>
            <w:r>
              <w:rPr>
                <w:rFonts w:ascii="Times New Roman" w:hAnsi="Times New Roman" w:cs="Times New Roman"/>
                <w:color w:val="auto"/>
                <w:sz w:val="18"/>
                <w:szCs w:val="18"/>
                <w:lang w:val="en-US" w:eastAsia="zh-CN" w:bidi="en-US"/>
              </w:rPr>
              <w:t>、</w:t>
            </w:r>
            <w:r>
              <w:rPr>
                <w:rFonts w:ascii="Times New Roman" w:hAnsi="Times New Roman" w:cs="Times New Roman"/>
                <w:color w:val="auto"/>
                <w:sz w:val="18"/>
                <w:szCs w:val="18"/>
              </w:rPr>
              <w:t>电梯使用安全管理制度目录由使用单位自定。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2" w:hRule="exact"/>
          <w:jc w:val="center"/>
        </w:trPr>
        <w:tc>
          <w:tcPr>
            <w:tcW w:w="124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20" w:name="_Hlk53691194"/>
            <w:r>
              <w:rPr>
                <w:rFonts w:ascii="Times New Roman" w:hAnsi="Times New Roman" w:cs="Times New Roman"/>
                <w:color w:val="auto"/>
                <w:sz w:val="18"/>
                <w:szCs w:val="18"/>
              </w:rPr>
              <w:t>使用单位特别规定</w:t>
            </w:r>
            <w:bookmarkEnd w:id="20"/>
          </w:p>
        </w:tc>
        <w:tc>
          <w:tcPr>
            <w:tcW w:w="709"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1275"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特种设备使用管理规则</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(TSG 08</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2017)</w:t>
            </w: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2.1.2</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新安装未移交业主的电梯，项目建设单位是使用单位；委托物业服务单位管理的电梯，物业服务单位是使用单位；产权单位自行管理的电梯，产权单位是使用单位。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72" w:hRule="exact"/>
          <w:jc w:val="center"/>
        </w:trPr>
        <w:tc>
          <w:tcPr>
            <w:tcW w:w="124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21" w:name="_Hlk53691208"/>
            <w:r>
              <w:rPr>
                <w:rFonts w:ascii="Times New Roman" w:hAnsi="Times New Roman" w:cs="Times New Roman"/>
                <w:color w:val="auto"/>
                <w:sz w:val="18"/>
                <w:szCs w:val="18"/>
              </w:rPr>
              <w:t>维保单位要求</w:t>
            </w:r>
            <w:bookmarkEnd w:id="21"/>
          </w:p>
        </w:tc>
        <w:tc>
          <w:tcPr>
            <w:tcW w:w="709"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127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2.7.1</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使用单位应当选择具有相应资质的单位实施维护保养。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66" w:hRule="exact"/>
          <w:jc w:val="center"/>
        </w:trPr>
        <w:tc>
          <w:tcPr>
            <w:tcW w:w="124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22" w:name="_Hlk53691221"/>
            <w:r>
              <w:rPr>
                <w:rFonts w:ascii="Times New Roman" w:hAnsi="Times New Roman" w:cs="Times New Roman"/>
                <w:color w:val="auto"/>
                <w:sz w:val="18"/>
                <w:szCs w:val="18"/>
              </w:rPr>
              <w:t>作业人员配备</w:t>
            </w:r>
            <w:bookmarkEnd w:id="22"/>
          </w:p>
        </w:tc>
        <w:tc>
          <w:tcPr>
            <w:tcW w:w="709"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pStyle w:val="10"/>
              <w:snapToGrid w:val="0"/>
              <w:jc w:val="center"/>
              <w:rPr>
                <w:rFonts w:ascii="Times New Roman" w:hAnsi="Times New Roman" w:cs="Times New Roman"/>
                <w:color w:val="auto"/>
                <w:sz w:val="18"/>
                <w:szCs w:val="18"/>
              </w:rPr>
            </w:pPr>
          </w:p>
        </w:tc>
        <w:tc>
          <w:tcPr>
            <w:tcW w:w="127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rPr>
              <w:t>2.4.4.2</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医院病床电梯、直接用于旅游观光的额定速度大于</w:t>
            </w:r>
            <w:r>
              <w:rPr>
                <w:rFonts w:ascii="Times New Roman" w:hAnsi="Times New Roman" w:eastAsia="Times New Roman" w:cs="Times New Roman"/>
                <w:color w:val="auto"/>
                <w:sz w:val="18"/>
                <w:szCs w:val="18"/>
                <w:lang w:val="en-US" w:eastAsia="zh-CN" w:bidi="en-US"/>
              </w:rPr>
              <w:t>2.5 m/s</w:t>
            </w:r>
            <w:r>
              <w:rPr>
                <w:rFonts w:ascii="Times New Roman" w:hAnsi="Times New Roman" w:cs="Times New Roman"/>
                <w:color w:val="auto"/>
                <w:sz w:val="18"/>
                <w:szCs w:val="18"/>
              </w:rPr>
              <w:t>的乘客电梯以及需要司机操作的电梯，应当由持有相应特种设备作业人员证的人员操作。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68" w:hRule="exact"/>
          <w:jc w:val="center"/>
        </w:trPr>
        <w:tc>
          <w:tcPr>
            <w:tcW w:w="124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23" w:name="_Hlk53691233"/>
            <w:r>
              <w:rPr>
                <w:rFonts w:ascii="Times New Roman" w:hAnsi="Times New Roman" w:cs="Times New Roman"/>
                <w:color w:val="auto"/>
                <w:sz w:val="18"/>
                <w:szCs w:val="18"/>
              </w:rPr>
              <w:t>维保记录管理</w:t>
            </w:r>
            <w:bookmarkEnd w:id="23"/>
          </w:p>
        </w:tc>
        <w:tc>
          <w:tcPr>
            <w:tcW w:w="709"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27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第七条</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维保单位进行电梯维保，应当进行记录。维保记录应当经使用单位安全管理人员签字确认。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253" w:hRule="exact"/>
          <w:jc w:val="center"/>
        </w:trPr>
        <w:tc>
          <w:tcPr>
            <w:tcW w:w="124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日常维护保养</w:t>
            </w:r>
          </w:p>
        </w:tc>
        <w:tc>
          <w:tcPr>
            <w:tcW w:w="709"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维保</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单位</w:t>
            </w:r>
          </w:p>
        </w:tc>
        <w:tc>
          <w:tcPr>
            <w:tcW w:w="709"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维保</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人员</w:t>
            </w:r>
          </w:p>
        </w:tc>
        <w:tc>
          <w:tcPr>
            <w:tcW w:w="70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半月、季度、半年、年度</w:t>
            </w:r>
          </w:p>
        </w:tc>
        <w:tc>
          <w:tcPr>
            <w:tcW w:w="1275"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电梯维护保养规则</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 T5002</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rPr>
              <w:t>2017</w:t>
            </w:r>
            <w:r>
              <w:rPr>
                <w:rFonts w:ascii="Times New Roman" w:hAnsi="Times New Roman" w:cs="Times New Roman"/>
                <w:color w:val="auto"/>
                <w:sz w:val="18"/>
                <w:szCs w:val="18"/>
              </w:rPr>
              <w:t>)</w:t>
            </w: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第六条</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电梯的维保项目分为半月、季度、半年、年度等四类，各类维保的基本项目(内容)和要求分别参见</w:t>
            </w:r>
            <w:r>
              <w:rPr>
                <w:rFonts w:ascii="Times New Roman" w:hAnsi="Times New Roman" w:eastAsia="Times New Roman" w:cs="Times New Roman"/>
                <w:color w:val="auto"/>
                <w:sz w:val="18"/>
                <w:szCs w:val="18"/>
                <w:lang w:val="en-US" w:eastAsia="zh-CN" w:bidi="en-US"/>
              </w:rPr>
              <w:t>TSG T5002-2017</w:t>
            </w:r>
            <w:r>
              <w:rPr>
                <w:rFonts w:ascii="Times New Roman" w:hAnsi="Times New Roman" w:cs="Times New Roman"/>
                <w:color w:val="auto"/>
                <w:sz w:val="18"/>
                <w:szCs w:val="18"/>
              </w:rPr>
              <w:t>中附件</w:t>
            </w:r>
            <w:r>
              <w:rPr>
                <w:rFonts w:ascii="Times New Roman" w:hAnsi="Times New Roman" w:eastAsia="Times New Roman" w:cs="Times New Roman"/>
                <w:color w:val="auto"/>
                <w:sz w:val="18"/>
                <w:szCs w:val="18"/>
                <w:lang w:val="en-US" w:eastAsia="zh-CN" w:bidi="en-US"/>
              </w:rPr>
              <w:t>A</w:t>
            </w:r>
            <w:r>
              <w:rPr>
                <w:rFonts w:ascii="Times New Roman" w:hAnsi="Times New Roman" w:eastAsia="MS Mincho" w:cs="Times New Roman"/>
                <w:color w:val="auto"/>
                <w:sz w:val="18"/>
                <w:szCs w:val="18"/>
              </w:rPr>
              <w:t>〜</w:t>
            </w:r>
            <w:r>
              <w:rPr>
                <w:rFonts w:ascii="Times New Roman" w:hAnsi="Times New Roman" w:cs="Times New Roman"/>
                <w:color w:val="auto"/>
                <w:sz w:val="18"/>
                <w:szCs w:val="18"/>
              </w:rPr>
              <w:t>附件</w:t>
            </w:r>
            <w:r>
              <w:rPr>
                <w:rFonts w:ascii="Times New Roman" w:hAnsi="Times New Roman" w:eastAsia="Times New Roman" w:cs="Times New Roman"/>
                <w:color w:val="auto"/>
                <w:sz w:val="18"/>
                <w:szCs w:val="18"/>
                <w:lang w:val="en-US" w:eastAsia="zh-CN" w:bidi="en-US"/>
              </w:rPr>
              <w:t>D</w:t>
            </w:r>
            <w:r>
              <w:rPr>
                <w:rFonts w:ascii="Times New Roman" w:hAnsi="Times New Roman" w:cs="Times New Roman"/>
                <w:color w:val="auto"/>
                <w:sz w:val="18"/>
                <w:szCs w:val="18"/>
                <w:lang w:val="en-US" w:eastAsia="zh-CN" w:bidi="en-US"/>
              </w:rPr>
              <w:t>。</w:t>
            </w:r>
            <w:r>
              <w:rPr>
                <w:rFonts w:ascii="Times New Roman" w:hAnsi="Times New Roman" w:cs="Times New Roman"/>
                <w:color w:val="auto"/>
                <w:sz w:val="18"/>
                <w:szCs w:val="18"/>
              </w:rPr>
              <w:t>维保单位应当依据各附件的要求，按照安装使用维护说明书的规定，并且根据所保养电梯使用的特点，制定合理的维保计划与方案，对电梯进行清洁、润滑、检查、调整，更换不符合要求的易损件，使电梯达到安全要求，保证电梯能够正常运行。现场维保时，如果发现电梯存在的问题需要通过增加维保项目(内容)予以解决的，维保单位应当相应增加并且及时修订维保计划与方案。</w:t>
            </w:r>
            <w:r>
              <w:rPr>
                <w:rFonts w:ascii="Times New Roman" w:hAnsi="Times New Roman" w:cs="Times New Roman"/>
                <w:color w:val="auto"/>
                <w:sz w:val="18"/>
                <w:szCs w:val="18"/>
                <w:lang w:eastAsia="zh-CN"/>
              </w:rPr>
              <w:t>按需维保时按照经确认的按需维保方案进行日常维保。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18" w:hRule="atLeast"/>
          <w:jc w:val="center"/>
        </w:trPr>
        <w:tc>
          <w:tcPr>
            <w:tcW w:w="124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自行检查</w:t>
            </w:r>
          </w:p>
        </w:tc>
        <w:tc>
          <w:tcPr>
            <w:tcW w:w="709"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09"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70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六个月</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(在定期检验之前进行)</w:t>
            </w:r>
          </w:p>
        </w:tc>
        <w:tc>
          <w:tcPr>
            <w:tcW w:w="127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val="zh-CN" w:eastAsia="zh-CN" w:bidi="zh-CN"/>
              </w:rPr>
              <w:t>第</w:t>
            </w:r>
            <w:r>
              <w:rPr>
                <w:rFonts w:ascii="Times New Roman" w:hAnsi="Times New Roman" w:cs="Times New Roman"/>
                <w:color w:val="auto"/>
                <w:sz w:val="18"/>
                <w:szCs w:val="18"/>
              </w:rPr>
              <w:t>五条</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自行检查项目及其内容根据使用状况确定，但是不少于</w:t>
            </w:r>
            <w:r>
              <w:rPr>
                <w:rFonts w:ascii="Times New Roman" w:hAnsi="Times New Roman" w:eastAsia="Times New Roman" w:cs="Times New Roman"/>
                <w:color w:val="auto"/>
                <w:sz w:val="18"/>
                <w:szCs w:val="18"/>
                <w:lang w:val="en-US" w:eastAsia="zh-CN" w:bidi="en-US"/>
              </w:rPr>
              <w:t>TSG T5002-2017</w:t>
            </w:r>
            <w:r>
              <w:rPr>
                <w:rFonts w:ascii="Times New Roman" w:hAnsi="Times New Roman" w:cs="Times New Roman"/>
                <w:color w:val="auto"/>
                <w:sz w:val="18"/>
                <w:szCs w:val="18"/>
              </w:rPr>
              <w:t>中年度维保和电梯定期检验规定的项目及其内容，并且向使用单位出具有自行检查和审核人员的签字、加盖维保单位公章或者其他专用章的自行检查记录或者报告。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213" w:hRule="exact"/>
          <w:jc w:val="center"/>
        </w:trPr>
        <w:tc>
          <w:tcPr>
            <w:tcW w:w="124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定期检验</w:t>
            </w:r>
          </w:p>
        </w:tc>
        <w:tc>
          <w:tcPr>
            <w:tcW w:w="70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检验</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机构</w:t>
            </w:r>
          </w:p>
        </w:tc>
        <w:tc>
          <w:tcPr>
            <w:tcW w:w="70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有资格的检验人员</w:t>
            </w:r>
          </w:p>
        </w:tc>
        <w:tc>
          <w:tcPr>
            <w:tcW w:w="70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按“上次检</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验报告”</w:t>
            </w:r>
          </w:p>
        </w:tc>
        <w:tc>
          <w:tcPr>
            <w:tcW w:w="127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TSG T7001</w:t>
            </w:r>
            <w:r>
              <w:rPr>
                <w:rFonts w:ascii="Times New Roman" w:hAnsi="Times New Roman" w:cs="Times New Roman"/>
                <w:color w:val="auto"/>
                <w:sz w:val="18"/>
                <w:szCs w:val="18"/>
                <w:lang w:val="en-US" w:eastAsia="zh-CN" w:bidi="en-US"/>
              </w:rPr>
              <w:t xml:space="preserve">- </w:t>
            </w:r>
            <w:r>
              <w:rPr>
                <w:rFonts w:ascii="Times New Roman" w:hAnsi="Times New Roman" w:eastAsia="Times New Roman" w:cs="Times New Roman"/>
                <w:color w:val="auto"/>
                <w:sz w:val="18"/>
                <w:szCs w:val="18"/>
                <w:lang w:val="en-US" w:eastAsia="zh-CN" w:bidi="en-US"/>
              </w:rPr>
              <w:t>2009</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 T7006-</w:t>
            </w:r>
            <w:r>
              <w:rPr>
                <w:rFonts w:ascii="Times New Roman" w:hAnsi="Times New Roman" w:eastAsia="Times New Roman" w:cs="Times New Roman"/>
                <w:color w:val="auto"/>
                <w:sz w:val="18"/>
                <w:szCs w:val="18"/>
              </w:rPr>
              <w:t xml:space="preserve">2012 </w:t>
            </w:r>
            <w:r>
              <w:rPr>
                <w:rFonts w:ascii="Times New Roman" w:hAnsi="Times New Roman" w:cs="Times New Roman"/>
                <w:color w:val="auto"/>
                <w:sz w:val="18"/>
                <w:szCs w:val="18"/>
              </w:rPr>
              <w:t>等相关安全技术规范</w:t>
            </w: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第八条</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检验机构应当在施工单位自检合格的基础上实施监督检验，在维护保养单位自检合格的基础上实施定期检验。</w:t>
            </w:r>
            <w:r>
              <w:rPr>
                <w:rFonts w:hint="eastAsia" w:ascii="Times New Roman" w:hAnsi="Times New Roman" w:cs="Times New Roman"/>
                <w:color w:val="auto"/>
                <w:sz w:val="18"/>
                <w:szCs w:val="18"/>
                <w:lang w:eastAsia="zh-CN"/>
              </w:rPr>
              <w:t>定期</w:t>
            </w:r>
            <w:r>
              <w:rPr>
                <w:rFonts w:ascii="Times New Roman" w:hAnsi="Times New Roman" w:cs="Times New Roman"/>
                <w:color w:val="auto"/>
                <w:sz w:val="18"/>
                <w:szCs w:val="18"/>
              </w:rPr>
              <w:t>检验</w:t>
            </w:r>
            <w:r>
              <w:rPr>
                <w:rFonts w:ascii="Times New Roman" w:hAnsi="Times New Roman" w:cs="Times New Roman"/>
                <w:color w:val="auto"/>
                <w:sz w:val="18"/>
                <w:szCs w:val="18"/>
                <w:lang w:eastAsia="zh-CN"/>
              </w:rPr>
              <w:t>项目</w:t>
            </w:r>
            <w:r>
              <w:rPr>
                <w:rFonts w:ascii="Times New Roman" w:hAnsi="Times New Roman" w:cs="Times New Roman"/>
                <w:color w:val="auto"/>
                <w:sz w:val="18"/>
                <w:szCs w:val="18"/>
              </w:rPr>
              <w:t>由检验机构按照</w:t>
            </w:r>
            <w:r>
              <w:rPr>
                <w:rFonts w:ascii="Times New Roman" w:hAnsi="Times New Roman" w:eastAsia="Times New Roman" w:cs="Times New Roman"/>
                <w:color w:val="auto"/>
                <w:sz w:val="18"/>
                <w:szCs w:val="18"/>
                <w:lang w:val="en-US" w:eastAsia="zh-CN" w:bidi="en-US"/>
              </w:rPr>
              <w:t>TSG T7001</w:t>
            </w:r>
            <w:r>
              <w:rPr>
                <w:rFonts w:hint="eastAsia" w:ascii="Times New Roman" w:hAnsi="Times New Roman" w:eastAsia="宋体"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 xml:space="preserve"> T700</w:t>
            </w:r>
            <w:r>
              <w:rPr>
                <w:rFonts w:hint="eastAsia" w:ascii="Times New Roman" w:hAnsi="Times New Roman" w:eastAsia="宋体" w:cs="Times New Roman"/>
                <w:color w:val="auto"/>
                <w:sz w:val="18"/>
                <w:szCs w:val="18"/>
                <w:lang w:val="en-US" w:eastAsia="zh-CN" w:bidi="en-US"/>
              </w:rPr>
              <w:t>6</w:t>
            </w:r>
            <w:r>
              <w:rPr>
                <w:rFonts w:ascii="Times New Roman" w:hAnsi="Times New Roman" w:cs="Times New Roman"/>
                <w:color w:val="auto"/>
                <w:sz w:val="18"/>
                <w:szCs w:val="18"/>
              </w:rPr>
              <w:t>要求确定。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04" w:hRule="exact"/>
          <w:jc w:val="center"/>
        </w:trPr>
        <w:tc>
          <w:tcPr>
            <w:tcW w:w="124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日常巡查</w:t>
            </w:r>
          </w:p>
        </w:tc>
        <w:tc>
          <w:tcPr>
            <w:tcW w:w="70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70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安全管理员</w:t>
            </w:r>
          </w:p>
        </w:tc>
        <w:tc>
          <w:tcPr>
            <w:tcW w:w="70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每日一次</w:t>
            </w:r>
          </w:p>
        </w:tc>
        <w:tc>
          <w:tcPr>
            <w:tcW w:w="1275" w:type="dxa"/>
            <w:shd w:val="clear" w:color="auto" w:fill="FFFFFF"/>
            <w:noWrap/>
            <w:vAlign w:val="center"/>
          </w:tcPr>
          <w:p>
            <w:pPr>
              <w:pStyle w:val="10"/>
              <w:snapToGrid w:val="0"/>
              <w:spacing w:line="240" w:lineRule="auto"/>
              <w:jc w:val="center"/>
              <w:rPr>
                <w:rFonts w:ascii="Times New Roman" w:hAnsi="Times New Roman" w:eastAsia="Times New Roman" w:cs="Times New Roman"/>
                <w:color w:val="auto"/>
                <w:sz w:val="18"/>
                <w:szCs w:val="18"/>
                <w:lang w:val="en-US" w:eastAsia="zh-CN" w:bidi="en-US"/>
              </w:rPr>
            </w:pPr>
            <w:r>
              <w:rPr>
                <w:rFonts w:ascii="Times New Roman" w:hAnsi="Times New Roman" w:eastAsia="Times New Roman" w:cs="Times New Roman"/>
                <w:color w:val="auto"/>
                <w:sz w:val="18"/>
                <w:szCs w:val="18"/>
                <w:lang w:val="en-US" w:eastAsia="zh-CN" w:bidi="en-US"/>
              </w:rPr>
              <w:t>DB61</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 xml:space="preserve">T 1357-2020 </w:t>
            </w:r>
            <w:r>
              <w:rPr>
                <w:rFonts w:ascii="Times New Roman" w:hAnsi="Times New Roman" w:cs="Times New Roman"/>
                <w:color w:val="auto"/>
                <w:sz w:val="18"/>
                <w:szCs w:val="18"/>
                <w:lang w:val="en-US" w:eastAsia="zh-CN" w:bidi="en-US"/>
              </w:rPr>
              <w:t>电梯使用管理规范</w:t>
            </w:r>
          </w:p>
        </w:tc>
        <w:tc>
          <w:tcPr>
            <w:tcW w:w="8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cs="Times New Roman"/>
                <w:color w:val="auto"/>
                <w:sz w:val="18"/>
                <w:szCs w:val="18"/>
                <w:lang w:val="en-US" w:eastAsia="zh-CN"/>
              </w:rPr>
              <w:t>附录A</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见附表1~3。</w:t>
            </w:r>
          </w:p>
        </w:tc>
      </w:tr>
    </w:tbl>
    <w:p>
      <w:pPr>
        <w:snapToGrid w:val="0"/>
        <w:rPr>
          <w:rFonts w:ascii="Times New Roman" w:hAnsi="Times New Roman" w:cs="Times New Roman"/>
          <w:color w:val="auto"/>
          <w:sz w:val="18"/>
          <w:szCs w:val="18"/>
        </w:rPr>
        <w:sectPr>
          <w:headerReference r:id="rId25" w:type="first"/>
          <w:footerReference r:id="rId27" w:type="first"/>
          <w:headerReference r:id="rId23" w:type="default"/>
          <w:headerReference r:id="rId24" w:type="even"/>
          <w:footerReference r:id="rId26" w:type="even"/>
          <w:pgSz w:w="16840" w:h="11900" w:orient="landscape"/>
          <w:pgMar w:top="1134" w:right="1134" w:bottom="1134" w:left="1134" w:header="851" w:footer="851" w:gutter="0"/>
          <w:pgNumType w:fmt="numberInDash"/>
          <w:cols w:space="720" w:num="1"/>
          <w:docGrid w:linePitch="360" w:charSpace="0"/>
        </w:sectPr>
      </w:pPr>
    </w:p>
    <w:p>
      <w:pPr>
        <w:pStyle w:val="10"/>
        <w:snapToGrid w:val="0"/>
        <w:spacing w:line="240" w:lineRule="auto"/>
        <w:jc w:val="center"/>
        <w:rPr>
          <w:rFonts w:hint="eastAsia" w:ascii="仿宋_GB2312" w:hAnsi="仿宋_GB2312" w:eastAsia="仿宋_GB2312" w:cs="仿宋_GB2312"/>
          <w:b w:val="0"/>
          <w:bCs/>
          <w:color w:val="auto"/>
          <w:sz w:val="30"/>
          <w:szCs w:val="30"/>
        </w:rPr>
      </w:pPr>
      <w:bookmarkStart w:id="24" w:name="_Toc20429"/>
      <w:bookmarkStart w:id="25" w:name="_Toc6070"/>
      <w:bookmarkStart w:id="26" w:name="_Toc15490"/>
      <w:bookmarkStart w:id="27" w:name="_Toc25943807"/>
      <w:r>
        <w:rPr>
          <w:rFonts w:hint="eastAsia" w:ascii="仿宋_GB2312" w:hAnsi="仿宋_GB2312" w:eastAsia="仿宋_GB2312" w:cs="仿宋_GB2312"/>
          <w:b w:val="0"/>
          <w:bCs/>
          <w:color w:val="auto"/>
          <w:sz w:val="30"/>
          <w:szCs w:val="30"/>
        </w:rPr>
        <w:t>附表1  曳引驱动电梯日常巡查内容、要求与方法</w:t>
      </w:r>
      <w:bookmarkEnd w:id="24"/>
      <w:bookmarkEnd w:id="25"/>
      <w:bookmarkEnd w:id="26"/>
      <w:bookmarkEnd w:id="27"/>
    </w:p>
    <w:tbl>
      <w:tblPr>
        <w:tblStyle w:val="8"/>
        <w:tblW w:w="970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33"/>
        <w:gridCol w:w="2764"/>
        <w:gridCol w:w="3642"/>
        <w:gridCol w:w="27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533" w:type="dxa"/>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序号</w:t>
            </w:r>
          </w:p>
        </w:tc>
        <w:tc>
          <w:tcPr>
            <w:tcW w:w="2764" w:type="dxa"/>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巡查项目、内容</w:t>
            </w:r>
          </w:p>
        </w:tc>
        <w:tc>
          <w:tcPr>
            <w:tcW w:w="3642" w:type="dxa"/>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要求</w:t>
            </w:r>
          </w:p>
        </w:tc>
        <w:tc>
          <w:tcPr>
            <w:tcW w:w="2762" w:type="dxa"/>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533" w:type="dxa"/>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w:t>
            </w:r>
          </w:p>
        </w:tc>
        <w:tc>
          <w:tcPr>
            <w:tcW w:w="2764"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机房巡查</w:t>
            </w:r>
          </w:p>
        </w:tc>
        <w:tc>
          <w:tcPr>
            <w:tcW w:w="3642" w:type="dxa"/>
            <w:noWrap/>
            <w:vAlign w:val="center"/>
          </w:tcPr>
          <w:p>
            <w:pPr>
              <w:pStyle w:val="4"/>
              <w:adjustRightInd w:val="0"/>
              <w:snapToGrid w:val="0"/>
              <w:rPr>
                <w:rFonts w:ascii="Times New Roman" w:hAnsi="Times New Roman" w:cs="Times New Roman"/>
                <w:color w:val="auto"/>
                <w:kern w:val="0"/>
                <w:sz w:val="18"/>
              </w:rPr>
            </w:pPr>
            <w:bookmarkStart w:id="28" w:name="_Toc463440875"/>
            <w:bookmarkStart w:id="29" w:name="_Toc463793827"/>
            <w:bookmarkStart w:id="30" w:name="_Toc464738868"/>
            <w:bookmarkStart w:id="31" w:name="_Toc464748808"/>
            <w:bookmarkStart w:id="32" w:name="_Toc463816131"/>
            <w:bookmarkStart w:id="33" w:name="_Toc463959545"/>
            <w:bookmarkStart w:id="34" w:name="_Toc463538944"/>
            <w:bookmarkStart w:id="35" w:name="_Toc463525868"/>
            <w:bookmarkStart w:id="36" w:name="_Toc463610924"/>
            <w:bookmarkStart w:id="37" w:name="_Toc463563226"/>
            <w:bookmarkStart w:id="38" w:name="_Toc463626511"/>
            <w:bookmarkStart w:id="39" w:name="_Toc464491314"/>
            <w:bookmarkStart w:id="40" w:name="_Toc465031992"/>
            <w:bookmarkStart w:id="41" w:name="_Toc463603525"/>
            <w:bookmarkStart w:id="42" w:name="_Toc463644301"/>
            <w:bookmarkStart w:id="43" w:name="_Toc463449660"/>
            <w:bookmarkStart w:id="44" w:name="_Toc464150282"/>
            <w:bookmarkStart w:id="45" w:name="_Toc465078652"/>
            <w:bookmarkStart w:id="46" w:name="_Toc1376"/>
            <w:bookmarkStart w:id="47" w:name="_Toc464063253"/>
            <w:bookmarkStart w:id="48" w:name="_Toc463467739"/>
            <w:bookmarkStart w:id="49" w:name="_Toc465587493"/>
            <w:bookmarkStart w:id="50" w:name="_Toc463432651"/>
            <w:bookmarkStart w:id="51" w:name="_Toc463529614"/>
            <w:bookmarkStart w:id="52" w:name="_Toc463528479"/>
            <w:r>
              <w:rPr>
                <w:rFonts w:ascii="Times New Roman" w:hAnsi="Times New Roman" w:cs="Times New Roman"/>
                <w:color w:val="auto"/>
                <w:kern w:val="0"/>
                <w:sz w:val="18"/>
              </w:rPr>
              <w:t>1、机房清洁、无与电梯无关的物品和设备</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4"/>
              <w:adjustRightInd w:val="0"/>
              <w:snapToGrid w:val="0"/>
              <w:rPr>
                <w:rFonts w:ascii="Times New Roman" w:hAnsi="Times New Roman" w:cs="Times New Roman"/>
                <w:color w:val="auto"/>
                <w:kern w:val="0"/>
                <w:sz w:val="18"/>
              </w:rPr>
            </w:pPr>
            <w:bookmarkStart w:id="53" w:name="_Toc463563227"/>
            <w:bookmarkStart w:id="54" w:name="_Toc463525869"/>
            <w:bookmarkStart w:id="55" w:name="_Toc463603526"/>
            <w:bookmarkStart w:id="56" w:name="_Toc464063254"/>
            <w:bookmarkStart w:id="57" w:name="_Toc465031993"/>
            <w:bookmarkStart w:id="58" w:name="_Toc463528480"/>
            <w:bookmarkStart w:id="59" w:name="_Toc465078653"/>
            <w:bookmarkStart w:id="60" w:name="_Toc463644302"/>
            <w:bookmarkStart w:id="61" w:name="_Toc463610925"/>
            <w:bookmarkStart w:id="62" w:name="_Toc463959546"/>
            <w:bookmarkStart w:id="63" w:name="_Toc464738869"/>
            <w:bookmarkStart w:id="64" w:name="_Toc463449661"/>
            <w:bookmarkStart w:id="65" w:name="_Toc463432652"/>
            <w:bookmarkStart w:id="66" w:name="_Toc464748809"/>
            <w:bookmarkStart w:id="67" w:name="_Toc10216"/>
            <w:bookmarkStart w:id="68" w:name="_Toc463538945"/>
            <w:bookmarkStart w:id="69" w:name="_Toc463793828"/>
            <w:bookmarkStart w:id="70" w:name="_Toc463440876"/>
            <w:bookmarkStart w:id="71" w:name="_Toc464491315"/>
            <w:bookmarkStart w:id="72" w:name="_Toc463816132"/>
            <w:bookmarkStart w:id="73" w:name="_Toc465587494"/>
            <w:bookmarkStart w:id="74" w:name="_Toc463467740"/>
            <w:bookmarkStart w:id="75" w:name="_Toc463626512"/>
            <w:bookmarkStart w:id="76" w:name="_Toc463529615"/>
            <w:bookmarkStart w:id="77" w:name="_Toc464150283"/>
            <w:r>
              <w:rPr>
                <w:rFonts w:ascii="Times New Roman" w:hAnsi="Times New Roman" w:cs="Times New Roman"/>
                <w:color w:val="auto"/>
                <w:kern w:val="0"/>
                <w:sz w:val="18"/>
              </w:rPr>
              <w:t>2、门窗完好、门外侧应有安全标志</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Style w:val="4"/>
              <w:adjustRightInd w:val="0"/>
              <w:snapToGrid w:val="0"/>
              <w:rPr>
                <w:rFonts w:ascii="Times New Roman" w:hAnsi="Times New Roman" w:cs="Times New Roman"/>
                <w:color w:val="auto"/>
                <w:kern w:val="0"/>
                <w:sz w:val="18"/>
              </w:rPr>
            </w:pPr>
            <w:bookmarkStart w:id="78" w:name="_Toc465078654"/>
            <w:bookmarkStart w:id="79" w:name="_Toc463440877"/>
            <w:bookmarkStart w:id="80" w:name="_Toc464063255"/>
            <w:bookmarkStart w:id="81" w:name="_Toc463538946"/>
            <w:bookmarkStart w:id="82" w:name="_Toc29301"/>
            <w:bookmarkStart w:id="83" w:name="_Toc463432653"/>
            <w:bookmarkStart w:id="84" w:name="_Toc463793829"/>
            <w:bookmarkStart w:id="85" w:name="_Toc463529616"/>
            <w:bookmarkStart w:id="86" w:name="_Toc463816133"/>
            <w:bookmarkStart w:id="87" w:name="_Toc463610926"/>
            <w:bookmarkStart w:id="88" w:name="_Toc463449662"/>
            <w:bookmarkStart w:id="89" w:name="_Toc463626513"/>
            <w:bookmarkStart w:id="90" w:name="_Toc464491316"/>
            <w:bookmarkStart w:id="91" w:name="_Toc463525870"/>
            <w:bookmarkStart w:id="92" w:name="_Toc464150284"/>
            <w:bookmarkStart w:id="93" w:name="_Toc463563228"/>
            <w:bookmarkStart w:id="94" w:name="_Toc463467741"/>
            <w:bookmarkStart w:id="95" w:name="_Toc465031994"/>
            <w:bookmarkStart w:id="96" w:name="_Toc465587495"/>
            <w:bookmarkStart w:id="97" w:name="_Toc464748810"/>
            <w:bookmarkStart w:id="98" w:name="_Toc463603527"/>
            <w:bookmarkStart w:id="99" w:name="_Toc463959547"/>
            <w:bookmarkStart w:id="100" w:name="_Toc463528481"/>
            <w:bookmarkStart w:id="101" w:name="_Toc464738870"/>
            <w:bookmarkStart w:id="102" w:name="_Toc463644303"/>
            <w:r>
              <w:rPr>
                <w:rFonts w:ascii="Times New Roman" w:hAnsi="Times New Roman" w:cs="Times New Roman"/>
                <w:color w:val="auto"/>
                <w:kern w:val="0"/>
                <w:sz w:val="18"/>
              </w:rPr>
              <w:t>3、照明工作正常</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pStyle w:val="4"/>
              <w:adjustRightInd w:val="0"/>
              <w:snapToGrid w:val="0"/>
              <w:rPr>
                <w:rFonts w:ascii="Times New Roman" w:hAnsi="Times New Roman" w:cs="Times New Roman"/>
                <w:color w:val="auto"/>
                <w:kern w:val="0"/>
                <w:sz w:val="18"/>
              </w:rPr>
            </w:pPr>
            <w:bookmarkStart w:id="103" w:name="_Toc463529617"/>
            <w:bookmarkStart w:id="104" w:name="_Toc463525871"/>
            <w:bookmarkStart w:id="105" w:name="_Toc464063256"/>
            <w:bookmarkStart w:id="106" w:name="_Toc463793830"/>
            <w:bookmarkStart w:id="107" w:name="_Toc465078655"/>
            <w:bookmarkStart w:id="108" w:name="_Toc463603528"/>
            <w:bookmarkStart w:id="109" w:name="_Toc463816134"/>
            <w:bookmarkStart w:id="110" w:name="_Toc464491317"/>
            <w:bookmarkStart w:id="111" w:name="_Toc463432654"/>
            <w:bookmarkStart w:id="112" w:name="_Toc464150285"/>
            <w:bookmarkStart w:id="113" w:name="_Toc463959548"/>
            <w:bookmarkStart w:id="114" w:name="_Toc463449663"/>
            <w:bookmarkStart w:id="115" w:name="_Toc464748811"/>
            <w:bookmarkStart w:id="116" w:name="_Toc463626514"/>
            <w:bookmarkStart w:id="117" w:name="_Toc463538947"/>
            <w:bookmarkStart w:id="118" w:name="_Toc464738871"/>
            <w:bookmarkStart w:id="119" w:name="_Toc463610927"/>
            <w:bookmarkStart w:id="120" w:name="_Toc465587496"/>
            <w:bookmarkStart w:id="121" w:name="_Toc463563229"/>
            <w:bookmarkStart w:id="122" w:name="_Toc463467742"/>
            <w:bookmarkStart w:id="123" w:name="_Toc463528482"/>
            <w:bookmarkStart w:id="124" w:name="_Toc463440878"/>
            <w:bookmarkStart w:id="125" w:name="_Toc463644304"/>
            <w:bookmarkStart w:id="126" w:name="_Toc465031995"/>
            <w:bookmarkStart w:id="127" w:name="_Toc6543"/>
            <w:r>
              <w:rPr>
                <w:rFonts w:ascii="Times New Roman" w:hAnsi="Times New Roman" w:cs="Times New Roman"/>
                <w:color w:val="auto"/>
                <w:kern w:val="0"/>
                <w:sz w:val="18"/>
              </w:rPr>
              <w:t>4、温度保持在5℃～40℃之间</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5、消防设施有效</w:t>
            </w:r>
          </w:p>
          <w:p>
            <w:pPr>
              <w:pStyle w:val="4"/>
              <w:adjustRightInd w:val="0"/>
              <w:snapToGrid w:val="0"/>
              <w:rPr>
                <w:rFonts w:ascii="Times New Roman" w:hAnsi="Times New Roman" w:cs="Times New Roman"/>
                <w:color w:val="auto"/>
                <w:kern w:val="0"/>
                <w:sz w:val="18"/>
              </w:rPr>
            </w:pPr>
            <w:bookmarkStart w:id="128" w:name="_Toc465587497"/>
            <w:bookmarkStart w:id="129" w:name="_Toc465031996"/>
            <w:bookmarkStart w:id="130" w:name="_Toc464748812"/>
            <w:bookmarkStart w:id="131" w:name="_Toc464738872"/>
            <w:bookmarkStart w:id="132" w:name="_Toc465078656"/>
            <w:r>
              <w:rPr>
                <w:rFonts w:ascii="Times New Roman" w:hAnsi="Times New Roman" w:cs="Times New Roman"/>
                <w:color w:val="auto"/>
                <w:kern w:val="0"/>
                <w:sz w:val="18"/>
              </w:rPr>
              <w:t>6、安全标识齐全、清晰</w:t>
            </w:r>
            <w:bookmarkEnd w:id="128"/>
            <w:bookmarkEnd w:id="129"/>
            <w:bookmarkEnd w:id="130"/>
            <w:bookmarkEnd w:id="131"/>
            <w:bookmarkEnd w:id="132"/>
          </w:p>
        </w:tc>
        <w:tc>
          <w:tcPr>
            <w:tcW w:w="2762" w:type="dxa"/>
            <w:noWrap/>
            <w:vAlign w:val="center"/>
          </w:tcPr>
          <w:p>
            <w:pPr>
              <w:pStyle w:val="4"/>
              <w:adjustRightInd w:val="0"/>
              <w:snapToGrid w:val="0"/>
              <w:rPr>
                <w:rFonts w:ascii="Times New Roman" w:hAnsi="Times New Roman" w:cs="Times New Roman"/>
                <w:color w:val="auto"/>
                <w:kern w:val="0"/>
                <w:sz w:val="18"/>
              </w:rPr>
            </w:pPr>
            <w:bookmarkStart w:id="133" w:name="_Toc464063257"/>
            <w:bookmarkStart w:id="134" w:name="_Toc463432655"/>
            <w:bookmarkStart w:id="135" w:name="_Toc463626515"/>
            <w:bookmarkStart w:id="136" w:name="_Toc463816135"/>
            <w:bookmarkStart w:id="137" w:name="_Toc30835"/>
            <w:bookmarkStart w:id="138" w:name="_Toc463467743"/>
            <w:bookmarkStart w:id="139" w:name="_Toc463529618"/>
            <w:bookmarkStart w:id="140" w:name="_Toc465587498"/>
            <w:bookmarkStart w:id="141" w:name="_Toc463793831"/>
            <w:bookmarkStart w:id="142" w:name="_Toc464491318"/>
            <w:bookmarkStart w:id="143" w:name="_Toc465031997"/>
            <w:bookmarkStart w:id="144" w:name="_Toc465078657"/>
            <w:bookmarkStart w:id="145" w:name="_Toc463610928"/>
            <w:bookmarkStart w:id="146" w:name="_Toc463603529"/>
            <w:bookmarkStart w:id="147" w:name="_Toc463563230"/>
            <w:bookmarkStart w:id="148" w:name="_Toc463440879"/>
            <w:bookmarkStart w:id="149" w:name="_Toc463644305"/>
            <w:bookmarkStart w:id="150" w:name="_Toc464748813"/>
            <w:bookmarkStart w:id="151" w:name="_Toc464738873"/>
            <w:bookmarkStart w:id="152" w:name="_Toc463449664"/>
            <w:bookmarkStart w:id="153" w:name="_Toc463538948"/>
            <w:bookmarkStart w:id="154" w:name="_Toc463528483"/>
            <w:bookmarkStart w:id="155" w:name="_Toc464150286"/>
            <w:bookmarkStart w:id="156" w:name="_Toc463959549"/>
            <w:bookmarkStart w:id="157" w:name="_Toc463525872"/>
            <w:r>
              <w:rPr>
                <w:rFonts w:ascii="Times New Roman" w:hAnsi="Times New Roman" w:cs="Times New Roman"/>
                <w:color w:val="auto"/>
                <w:kern w:val="0"/>
                <w:sz w:val="18"/>
              </w:rPr>
              <w:t>1、目测</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4"/>
              <w:adjustRightInd w:val="0"/>
              <w:snapToGrid w:val="0"/>
              <w:rPr>
                <w:rFonts w:ascii="Times New Roman" w:hAnsi="Times New Roman" w:cs="Times New Roman"/>
                <w:color w:val="auto"/>
                <w:kern w:val="0"/>
                <w:sz w:val="18"/>
              </w:rPr>
            </w:pPr>
            <w:bookmarkStart w:id="158" w:name="_Toc464491319"/>
            <w:bookmarkStart w:id="159" w:name="_Toc26079"/>
            <w:bookmarkStart w:id="160" w:name="_Toc463793832"/>
            <w:bookmarkStart w:id="161" w:name="_Toc463610929"/>
            <w:bookmarkStart w:id="162" w:name="_Toc463959550"/>
            <w:bookmarkStart w:id="163" w:name="_Toc464738874"/>
            <w:bookmarkStart w:id="164" w:name="_Toc463432656"/>
            <w:bookmarkStart w:id="165" w:name="_Toc464063258"/>
            <w:bookmarkStart w:id="166" w:name="_Toc463626516"/>
            <w:bookmarkStart w:id="167" w:name="_Toc463525873"/>
            <w:bookmarkStart w:id="168" w:name="_Toc463449665"/>
            <w:bookmarkStart w:id="169" w:name="_Toc463563231"/>
            <w:bookmarkStart w:id="170" w:name="_Toc465587499"/>
            <w:bookmarkStart w:id="171" w:name="_Toc463528484"/>
            <w:bookmarkStart w:id="172" w:name="_Toc464748814"/>
            <w:bookmarkStart w:id="173" w:name="_Toc463467744"/>
            <w:bookmarkStart w:id="174" w:name="_Toc463440880"/>
            <w:bookmarkStart w:id="175" w:name="_Toc464150287"/>
            <w:bookmarkStart w:id="176" w:name="_Toc465078658"/>
            <w:bookmarkStart w:id="177" w:name="_Toc463603530"/>
            <w:bookmarkStart w:id="178" w:name="_Toc463529619"/>
            <w:bookmarkStart w:id="179" w:name="_Toc463538949"/>
            <w:bookmarkStart w:id="180" w:name="_Toc465031998"/>
            <w:bookmarkStart w:id="181" w:name="_Toc463644306"/>
            <w:bookmarkStart w:id="182" w:name="_Toc463816136"/>
            <w:r>
              <w:rPr>
                <w:rFonts w:ascii="Times New Roman" w:hAnsi="Times New Roman" w:cs="Times New Roman"/>
                <w:color w:val="auto"/>
                <w:kern w:val="0"/>
                <w:sz w:val="18"/>
              </w:rPr>
              <w:t>2、目测</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pStyle w:val="4"/>
              <w:adjustRightInd w:val="0"/>
              <w:snapToGrid w:val="0"/>
              <w:rPr>
                <w:rFonts w:ascii="Times New Roman" w:hAnsi="Times New Roman" w:cs="Times New Roman"/>
                <w:color w:val="auto"/>
                <w:kern w:val="0"/>
                <w:sz w:val="18"/>
              </w:rPr>
            </w:pPr>
            <w:bookmarkStart w:id="183" w:name="_Toc464491320"/>
            <w:bookmarkStart w:id="184" w:name="_Toc463432657"/>
            <w:bookmarkStart w:id="185" w:name="_Toc11070"/>
            <w:bookmarkStart w:id="186" w:name="_Toc463603531"/>
            <w:bookmarkStart w:id="187" w:name="_Toc463793833"/>
            <w:bookmarkStart w:id="188" w:name="_Toc463626517"/>
            <w:bookmarkStart w:id="189" w:name="_Toc465031999"/>
            <w:bookmarkStart w:id="190" w:name="_Toc463563232"/>
            <w:bookmarkStart w:id="191" w:name="_Toc465587500"/>
            <w:bookmarkStart w:id="192" w:name="_Toc463449666"/>
            <w:bookmarkStart w:id="193" w:name="_Toc463467745"/>
            <w:bookmarkStart w:id="194" w:name="_Toc463525874"/>
            <w:bookmarkStart w:id="195" w:name="_Toc463816137"/>
            <w:bookmarkStart w:id="196" w:name="_Toc463440881"/>
            <w:bookmarkStart w:id="197" w:name="_Toc464150288"/>
            <w:bookmarkStart w:id="198" w:name="_Toc463959551"/>
            <w:bookmarkStart w:id="199" w:name="_Toc463529620"/>
            <w:bookmarkStart w:id="200" w:name="_Toc463644307"/>
            <w:bookmarkStart w:id="201" w:name="_Toc463610930"/>
            <w:bookmarkStart w:id="202" w:name="_Toc465078659"/>
            <w:bookmarkStart w:id="203" w:name="_Toc463538950"/>
            <w:bookmarkStart w:id="204" w:name="_Toc464748815"/>
            <w:bookmarkStart w:id="205" w:name="_Toc464063259"/>
            <w:bookmarkStart w:id="206" w:name="_Toc463528485"/>
            <w:bookmarkStart w:id="207" w:name="_Toc464738875"/>
            <w:r>
              <w:rPr>
                <w:rFonts w:ascii="Times New Roman" w:hAnsi="Times New Roman" w:cs="Times New Roman"/>
                <w:color w:val="auto"/>
                <w:kern w:val="0"/>
                <w:sz w:val="18"/>
              </w:rPr>
              <w:t>3、目测，操作照明开关验证</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pStyle w:val="4"/>
              <w:adjustRightInd w:val="0"/>
              <w:snapToGrid w:val="0"/>
              <w:rPr>
                <w:rFonts w:ascii="Times New Roman" w:hAnsi="Times New Roman" w:cs="Times New Roman"/>
                <w:color w:val="auto"/>
                <w:kern w:val="0"/>
                <w:sz w:val="18"/>
              </w:rPr>
            </w:pPr>
            <w:bookmarkStart w:id="208" w:name="_Toc464748816"/>
            <w:bookmarkStart w:id="209" w:name="_Toc465587501"/>
            <w:bookmarkStart w:id="210" w:name="_Toc464738876"/>
            <w:bookmarkStart w:id="211" w:name="_Toc463440882"/>
            <w:bookmarkStart w:id="212" w:name="_Toc465078660"/>
            <w:bookmarkStart w:id="213" w:name="_Toc463816138"/>
            <w:bookmarkStart w:id="214" w:name="_Toc463467746"/>
            <w:bookmarkStart w:id="215" w:name="_Toc463432658"/>
            <w:bookmarkStart w:id="216" w:name="_Toc463449667"/>
            <w:bookmarkStart w:id="217" w:name="_Toc465032000"/>
            <w:bookmarkStart w:id="218" w:name="_Toc463528486"/>
            <w:bookmarkStart w:id="219" w:name="_Toc463603532"/>
            <w:bookmarkStart w:id="220" w:name="_Toc463793834"/>
            <w:bookmarkStart w:id="221" w:name="_Toc28270"/>
            <w:bookmarkStart w:id="222" w:name="_Toc464491321"/>
            <w:bookmarkStart w:id="223" w:name="_Toc463563233"/>
            <w:bookmarkStart w:id="224" w:name="_Toc463525875"/>
            <w:bookmarkStart w:id="225" w:name="_Toc463626518"/>
            <w:bookmarkStart w:id="226" w:name="_Toc463644308"/>
            <w:bookmarkStart w:id="227" w:name="_Toc464150289"/>
            <w:bookmarkStart w:id="228" w:name="_Toc463529621"/>
            <w:bookmarkStart w:id="229" w:name="_Toc463959552"/>
            <w:bookmarkStart w:id="230" w:name="_Toc463610931"/>
            <w:bookmarkStart w:id="231" w:name="_Toc464063260"/>
            <w:bookmarkStart w:id="232" w:name="_Toc463538951"/>
            <w:r>
              <w:rPr>
                <w:rFonts w:ascii="Times New Roman" w:hAnsi="Times New Roman" w:cs="Times New Roman"/>
                <w:color w:val="auto"/>
                <w:kern w:val="0"/>
                <w:sz w:val="18"/>
              </w:rPr>
              <w:t>4、体感，必要时测量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pStyle w:val="4"/>
              <w:adjustRightInd w:val="0"/>
              <w:snapToGrid w:val="0"/>
              <w:rPr>
                <w:rFonts w:ascii="Times New Roman" w:hAnsi="Times New Roman" w:cs="Times New Roman"/>
                <w:color w:val="auto"/>
                <w:kern w:val="0"/>
                <w:sz w:val="18"/>
              </w:rPr>
            </w:pPr>
            <w:bookmarkStart w:id="233" w:name="_Toc464738877"/>
            <w:bookmarkStart w:id="234" w:name="_Toc465587502"/>
            <w:bookmarkStart w:id="235" w:name="_Toc465078661"/>
            <w:bookmarkStart w:id="236" w:name="_Toc464748817"/>
            <w:bookmarkStart w:id="237" w:name="_Toc465032001"/>
            <w:r>
              <w:rPr>
                <w:rFonts w:ascii="Times New Roman" w:hAnsi="Times New Roman" w:cs="Times New Roman"/>
                <w:color w:val="auto"/>
                <w:kern w:val="0"/>
                <w:sz w:val="18"/>
              </w:rPr>
              <w:t>5、查看标记</w:t>
            </w:r>
            <w:bookmarkEnd w:id="233"/>
            <w:bookmarkEnd w:id="234"/>
            <w:bookmarkEnd w:id="235"/>
            <w:bookmarkEnd w:id="236"/>
            <w:bookmarkEnd w:id="237"/>
          </w:p>
          <w:p>
            <w:pPr>
              <w:pStyle w:val="4"/>
              <w:adjustRightInd w:val="0"/>
              <w:snapToGrid w:val="0"/>
              <w:rPr>
                <w:rFonts w:ascii="Times New Roman" w:hAnsi="Times New Roman" w:cs="Times New Roman"/>
                <w:color w:val="auto"/>
                <w:kern w:val="0"/>
                <w:sz w:val="18"/>
              </w:rPr>
            </w:pPr>
            <w:bookmarkStart w:id="238" w:name="_Toc464748818"/>
            <w:bookmarkStart w:id="239" w:name="_Toc465032002"/>
            <w:bookmarkStart w:id="240" w:name="_Toc465078662"/>
            <w:bookmarkStart w:id="241" w:name="_Toc464738878"/>
            <w:bookmarkStart w:id="242" w:name="_Toc465587503"/>
            <w:r>
              <w:rPr>
                <w:rFonts w:ascii="Times New Roman" w:hAnsi="Times New Roman" w:cs="Times New Roman"/>
                <w:color w:val="auto"/>
                <w:kern w:val="0"/>
                <w:sz w:val="18"/>
              </w:rPr>
              <w:t>6、目测</w:t>
            </w:r>
            <w:bookmarkEnd w:id="238"/>
            <w:bookmarkEnd w:id="239"/>
            <w:bookmarkEnd w:id="240"/>
            <w:bookmarkEnd w:id="241"/>
            <w:bookmarkEnd w:id="24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533" w:type="dxa"/>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2</w:t>
            </w:r>
          </w:p>
        </w:tc>
        <w:tc>
          <w:tcPr>
            <w:tcW w:w="2764"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运行状态、平层情况</w:t>
            </w:r>
          </w:p>
        </w:tc>
        <w:tc>
          <w:tcPr>
            <w:tcW w:w="3642"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无异常抖动或异常声响，平层正常</w:t>
            </w:r>
          </w:p>
        </w:tc>
        <w:tc>
          <w:tcPr>
            <w:tcW w:w="2762"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观察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533" w:type="dxa"/>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3</w:t>
            </w:r>
          </w:p>
        </w:tc>
        <w:tc>
          <w:tcPr>
            <w:tcW w:w="2764"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轿厢照明，通风装置</w:t>
            </w:r>
          </w:p>
        </w:tc>
        <w:tc>
          <w:tcPr>
            <w:tcW w:w="3642" w:type="dxa"/>
            <w:noWrap/>
            <w:vAlign w:val="center"/>
          </w:tcPr>
          <w:p>
            <w:pPr>
              <w:pStyle w:val="4"/>
              <w:adjustRightInd w:val="0"/>
              <w:snapToGrid w:val="0"/>
              <w:rPr>
                <w:rFonts w:ascii="Times New Roman" w:hAnsi="Times New Roman" w:cs="Times New Roman"/>
                <w:color w:val="auto"/>
                <w:kern w:val="0"/>
                <w:sz w:val="18"/>
              </w:rPr>
            </w:pPr>
            <w:bookmarkStart w:id="243" w:name="_Toc463538952"/>
            <w:bookmarkStart w:id="244" w:name="_Toc464491322"/>
            <w:bookmarkStart w:id="245" w:name="_Toc464748819"/>
            <w:bookmarkStart w:id="246" w:name="_Toc463449668"/>
            <w:bookmarkStart w:id="247" w:name="_Toc463626519"/>
            <w:bookmarkStart w:id="248" w:name="_Toc463529622"/>
            <w:bookmarkStart w:id="249" w:name="_Toc463603533"/>
            <w:bookmarkStart w:id="250" w:name="_Toc465078663"/>
            <w:bookmarkStart w:id="251" w:name="_Toc463563234"/>
            <w:bookmarkStart w:id="252" w:name="_Toc463432659"/>
            <w:bookmarkStart w:id="253" w:name="_Toc465032003"/>
            <w:bookmarkStart w:id="254" w:name="_Toc463528487"/>
            <w:bookmarkStart w:id="255" w:name="_Toc464150290"/>
            <w:bookmarkStart w:id="256" w:name="_Toc463793835"/>
            <w:bookmarkStart w:id="257" w:name="_Toc463644309"/>
            <w:bookmarkStart w:id="258" w:name="_Toc464738879"/>
            <w:bookmarkStart w:id="259" w:name="_Toc463440883"/>
            <w:bookmarkStart w:id="260" w:name="_Toc463959553"/>
            <w:bookmarkStart w:id="261" w:name="_Toc465587504"/>
            <w:bookmarkStart w:id="262" w:name="_Toc463525876"/>
            <w:bookmarkStart w:id="263" w:name="_Toc463610932"/>
            <w:bookmarkStart w:id="264" w:name="_Toc30314"/>
            <w:bookmarkStart w:id="265" w:name="_Toc463816139"/>
            <w:bookmarkStart w:id="266" w:name="_Toc464063261"/>
            <w:bookmarkStart w:id="267" w:name="_Toc463467747"/>
            <w:r>
              <w:rPr>
                <w:rFonts w:ascii="Times New Roman" w:hAnsi="Times New Roman" w:cs="Times New Roman"/>
                <w:color w:val="auto"/>
                <w:kern w:val="0"/>
                <w:sz w:val="18"/>
              </w:rPr>
              <w:t>1、照明正常</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pStyle w:val="4"/>
              <w:adjustRightInd w:val="0"/>
              <w:snapToGrid w:val="0"/>
              <w:rPr>
                <w:rFonts w:ascii="Times New Roman" w:hAnsi="Times New Roman" w:cs="Times New Roman"/>
                <w:color w:val="auto"/>
                <w:kern w:val="0"/>
                <w:sz w:val="18"/>
              </w:rPr>
            </w:pPr>
            <w:bookmarkStart w:id="268" w:name="_Toc463626520"/>
            <w:bookmarkStart w:id="269" w:name="_Toc463603534"/>
            <w:bookmarkStart w:id="270" w:name="_Toc463467748"/>
            <w:bookmarkStart w:id="271" w:name="_Toc463816140"/>
            <w:bookmarkStart w:id="272" w:name="_Toc463538953"/>
            <w:bookmarkStart w:id="273" w:name="_Toc464150291"/>
            <w:bookmarkStart w:id="274" w:name="_Toc464063262"/>
            <w:bookmarkStart w:id="275" w:name="_Toc465032004"/>
            <w:bookmarkStart w:id="276" w:name="_Toc465078664"/>
            <w:bookmarkStart w:id="277" w:name="_Toc463525877"/>
            <w:bookmarkStart w:id="278" w:name="_Toc463529623"/>
            <w:bookmarkStart w:id="279" w:name="_Toc464748820"/>
            <w:bookmarkStart w:id="280" w:name="_Toc463563235"/>
            <w:bookmarkStart w:id="281" w:name="_Toc1921"/>
            <w:bookmarkStart w:id="282" w:name="_Toc463959554"/>
            <w:bookmarkStart w:id="283" w:name="_Toc465587505"/>
            <w:bookmarkStart w:id="284" w:name="_Toc464491323"/>
            <w:bookmarkStart w:id="285" w:name="_Toc463440884"/>
            <w:bookmarkStart w:id="286" w:name="_Toc463449669"/>
            <w:bookmarkStart w:id="287" w:name="_Toc463793836"/>
            <w:bookmarkStart w:id="288" w:name="_Toc463432660"/>
            <w:bookmarkStart w:id="289" w:name="_Toc463610933"/>
            <w:bookmarkStart w:id="290" w:name="_Toc464738880"/>
            <w:bookmarkStart w:id="291" w:name="_Toc463644310"/>
            <w:bookmarkStart w:id="292" w:name="_Toc463528488"/>
            <w:r>
              <w:rPr>
                <w:rFonts w:ascii="Times New Roman" w:hAnsi="Times New Roman" w:cs="Times New Roman"/>
                <w:color w:val="auto"/>
                <w:kern w:val="0"/>
                <w:sz w:val="18"/>
              </w:rPr>
              <w:t>2、通风装置工作正常</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tc>
        <w:tc>
          <w:tcPr>
            <w:tcW w:w="2762" w:type="dxa"/>
            <w:noWrap/>
            <w:vAlign w:val="center"/>
          </w:tcPr>
          <w:p>
            <w:pPr>
              <w:pStyle w:val="4"/>
              <w:adjustRightInd w:val="0"/>
              <w:snapToGrid w:val="0"/>
              <w:rPr>
                <w:rFonts w:ascii="Times New Roman" w:hAnsi="Times New Roman" w:cs="Times New Roman"/>
                <w:color w:val="auto"/>
                <w:kern w:val="0"/>
                <w:sz w:val="18"/>
              </w:rPr>
            </w:pPr>
            <w:bookmarkStart w:id="293" w:name="_Toc464748821"/>
            <w:bookmarkStart w:id="294" w:name="_Toc463467749"/>
            <w:bookmarkStart w:id="295" w:name="_Toc463603535"/>
            <w:bookmarkStart w:id="296" w:name="_Toc463793837"/>
            <w:bookmarkStart w:id="297" w:name="_Toc464491324"/>
            <w:bookmarkStart w:id="298" w:name="_Toc463959555"/>
            <w:bookmarkStart w:id="299" w:name="_Toc16388"/>
            <w:bookmarkStart w:id="300" w:name="_Toc463538954"/>
            <w:bookmarkStart w:id="301" w:name="_Toc463644311"/>
            <w:bookmarkStart w:id="302" w:name="_Toc463432661"/>
            <w:bookmarkStart w:id="303" w:name="_Toc465078665"/>
            <w:bookmarkStart w:id="304" w:name="_Toc464063263"/>
            <w:bookmarkStart w:id="305" w:name="_Toc465032005"/>
            <w:bookmarkStart w:id="306" w:name="_Toc463525878"/>
            <w:bookmarkStart w:id="307" w:name="_Toc465587506"/>
            <w:bookmarkStart w:id="308" w:name="_Toc464738881"/>
            <w:bookmarkStart w:id="309" w:name="_Toc463626521"/>
            <w:bookmarkStart w:id="310" w:name="_Toc464150292"/>
            <w:bookmarkStart w:id="311" w:name="_Toc463449670"/>
            <w:bookmarkStart w:id="312" w:name="_Toc463610934"/>
            <w:bookmarkStart w:id="313" w:name="_Toc463440885"/>
            <w:bookmarkStart w:id="314" w:name="_Toc463529624"/>
            <w:bookmarkStart w:id="315" w:name="_Toc463563236"/>
            <w:bookmarkStart w:id="316" w:name="_Toc463528489"/>
            <w:bookmarkStart w:id="317" w:name="_Toc463816141"/>
            <w:r>
              <w:rPr>
                <w:rFonts w:ascii="Times New Roman" w:hAnsi="Times New Roman" w:cs="Times New Roman"/>
                <w:color w:val="auto"/>
                <w:kern w:val="0"/>
                <w:sz w:val="18"/>
              </w:rPr>
              <w:t>1、目测</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pPr>
              <w:pStyle w:val="4"/>
              <w:adjustRightInd w:val="0"/>
              <w:snapToGrid w:val="0"/>
              <w:rPr>
                <w:rFonts w:ascii="Times New Roman" w:hAnsi="Times New Roman" w:cs="Times New Roman"/>
                <w:color w:val="auto"/>
                <w:kern w:val="0"/>
                <w:sz w:val="18"/>
              </w:rPr>
            </w:pPr>
            <w:bookmarkStart w:id="318" w:name="_Toc463467750"/>
            <w:bookmarkStart w:id="319" w:name="_Toc464491325"/>
            <w:bookmarkStart w:id="320" w:name="_Toc463959556"/>
            <w:bookmarkStart w:id="321" w:name="_Toc463449671"/>
            <w:bookmarkStart w:id="322" w:name="_Toc463432662"/>
            <w:bookmarkStart w:id="323" w:name="_Toc463563237"/>
            <w:bookmarkStart w:id="324" w:name="_Toc465587507"/>
            <w:bookmarkStart w:id="325" w:name="_Toc463538955"/>
            <w:bookmarkStart w:id="326" w:name="_Toc24145"/>
            <w:bookmarkStart w:id="327" w:name="_Toc463816142"/>
            <w:bookmarkStart w:id="328" w:name="_Toc464748822"/>
            <w:bookmarkStart w:id="329" w:name="_Toc463528490"/>
            <w:bookmarkStart w:id="330" w:name="_Toc463793838"/>
            <w:bookmarkStart w:id="331" w:name="_Toc464150293"/>
            <w:bookmarkStart w:id="332" w:name="_Toc465078666"/>
            <w:bookmarkStart w:id="333" w:name="_Toc463525879"/>
            <w:bookmarkStart w:id="334" w:name="_Toc464738882"/>
            <w:bookmarkStart w:id="335" w:name="_Toc463440886"/>
            <w:bookmarkStart w:id="336" w:name="_Toc464063264"/>
            <w:bookmarkStart w:id="337" w:name="_Toc463644312"/>
            <w:bookmarkStart w:id="338" w:name="_Toc463610935"/>
            <w:bookmarkStart w:id="339" w:name="_Toc463626522"/>
            <w:bookmarkStart w:id="340" w:name="_Toc463529625"/>
            <w:bookmarkStart w:id="341" w:name="_Toc465032006"/>
            <w:bookmarkStart w:id="342" w:name="_Toc463603536"/>
            <w:r>
              <w:rPr>
                <w:rFonts w:ascii="Times New Roman" w:hAnsi="Times New Roman" w:cs="Times New Roman"/>
                <w:color w:val="auto"/>
                <w:kern w:val="0"/>
                <w:sz w:val="18"/>
              </w:rPr>
              <w:t>2、观察，体感</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533" w:type="dxa"/>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4</w:t>
            </w:r>
          </w:p>
        </w:tc>
        <w:tc>
          <w:tcPr>
            <w:tcW w:w="2764"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轿内报警装置、对讲系统</w:t>
            </w:r>
          </w:p>
        </w:tc>
        <w:tc>
          <w:tcPr>
            <w:tcW w:w="3642"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工作正常、声音清晰</w:t>
            </w:r>
          </w:p>
        </w:tc>
        <w:tc>
          <w:tcPr>
            <w:tcW w:w="2762"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通话验证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533" w:type="dxa"/>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5</w:t>
            </w:r>
          </w:p>
        </w:tc>
        <w:tc>
          <w:tcPr>
            <w:tcW w:w="2764"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轿内显示、指令按钮</w:t>
            </w:r>
          </w:p>
        </w:tc>
        <w:tc>
          <w:tcPr>
            <w:tcW w:w="3642"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显示正常、按钮齐全</w:t>
            </w:r>
          </w:p>
        </w:tc>
        <w:tc>
          <w:tcPr>
            <w:tcW w:w="2762"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目测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533" w:type="dxa"/>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6</w:t>
            </w:r>
          </w:p>
        </w:tc>
        <w:tc>
          <w:tcPr>
            <w:tcW w:w="2764"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操作箱检修门</w:t>
            </w:r>
          </w:p>
        </w:tc>
        <w:tc>
          <w:tcPr>
            <w:tcW w:w="3642"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完好、锁闭正常</w:t>
            </w:r>
          </w:p>
        </w:tc>
        <w:tc>
          <w:tcPr>
            <w:tcW w:w="2762"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目测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533" w:type="dxa"/>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7</w:t>
            </w:r>
          </w:p>
        </w:tc>
        <w:tc>
          <w:tcPr>
            <w:tcW w:w="2764"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层轿门开启、关闭情况，防夹人装置状态</w:t>
            </w:r>
          </w:p>
        </w:tc>
        <w:tc>
          <w:tcPr>
            <w:tcW w:w="3642"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层轿门开启、关闭正常；防夹人装置功能正常</w:t>
            </w:r>
          </w:p>
        </w:tc>
        <w:tc>
          <w:tcPr>
            <w:tcW w:w="2762"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观察；用手触碰(阻隔)安全装置验证功能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533" w:type="dxa"/>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8</w:t>
            </w:r>
          </w:p>
        </w:tc>
        <w:tc>
          <w:tcPr>
            <w:tcW w:w="2764"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层站召唤、层楼显示</w:t>
            </w:r>
          </w:p>
        </w:tc>
        <w:tc>
          <w:tcPr>
            <w:tcW w:w="3642"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按钮完好，齐全有效</w:t>
            </w:r>
          </w:p>
        </w:tc>
        <w:tc>
          <w:tcPr>
            <w:tcW w:w="2762"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观察，并通过揿压按钮进行验证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533" w:type="dxa"/>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9</w:t>
            </w:r>
          </w:p>
        </w:tc>
        <w:tc>
          <w:tcPr>
            <w:tcW w:w="2764"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轿门、层门地坎</w:t>
            </w:r>
          </w:p>
        </w:tc>
        <w:tc>
          <w:tcPr>
            <w:tcW w:w="3642"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清洁无异物</w:t>
            </w:r>
          </w:p>
        </w:tc>
        <w:tc>
          <w:tcPr>
            <w:tcW w:w="2762"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目测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533" w:type="dxa"/>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10</w:t>
            </w:r>
          </w:p>
        </w:tc>
        <w:tc>
          <w:tcPr>
            <w:tcW w:w="2764" w:type="dxa"/>
            <w:noWrap/>
            <w:vAlign w:val="center"/>
          </w:tcPr>
          <w:p>
            <w:pPr>
              <w:adjustRightInd w:val="0"/>
              <w:snapToGrid w:val="0"/>
              <w:rPr>
                <w:rFonts w:ascii="Times New Roman" w:hAnsi="Times New Roman" w:cs="Times New Roman"/>
                <w:color w:val="auto"/>
                <w:sz w:val="18"/>
                <w:szCs w:val="18"/>
              </w:rPr>
            </w:pPr>
            <w:r>
              <w:rPr>
                <w:rFonts w:ascii="Times New Roman" w:hAnsi="Times New Roman" w:eastAsia="宋体" w:cs="Times New Roman"/>
                <w:color w:val="auto"/>
                <w:sz w:val="18"/>
                <w:szCs w:val="18"/>
              </w:rPr>
              <w:t>电梯使用标志、安全警示标志、</w:t>
            </w:r>
            <w:r>
              <w:rPr>
                <w:rFonts w:ascii="Times New Roman" w:hAnsi="Times New Roman" w:cs="Times New Roman"/>
                <w:color w:val="auto"/>
                <w:sz w:val="18"/>
                <w:szCs w:val="18"/>
              </w:rPr>
              <w:t>96333</w:t>
            </w:r>
            <w:r>
              <w:rPr>
                <w:rFonts w:ascii="Times New Roman" w:hAnsi="Times New Roman" w:eastAsia="宋体" w:cs="Times New Roman"/>
                <w:color w:val="auto"/>
                <w:sz w:val="18"/>
                <w:szCs w:val="18"/>
              </w:rPr>
              <w:t>标识、安全注意事项</w:t>
            </w:r>
          </w:p>
        </w:tc>
        <w:tc>
          <w:tcPr>
            <w:tcW w:w="3642"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齐全清晰，且在有效期内</w:t>
            </w:r>
          </w:p>
        </w:tc>
        <w:tc>
          <w:tcPr>
            <w:tcW w:w="2762" w:type="dxa"/>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目测</w:t>
            </w:r>
          </w:p>
        </w:tc>
      </w:tr>
    </w:tbl>
    <w:p>
      <w:pPr>
        <w:pStyle w:val="10"/>
        <w:snapToGrid w:val="0"/>
        <w:spacing w:line="240" w:lineRule="auto"/>
        <w:jc w:val="center"/>
        <w:rPr>
          <w:rFonts w:hint="eastAsia" w:ascii="仿宋_GB2312" w:hAnsi="仿宋_GB2312" w:eastAsia="仿宋_GB2312" w:cs="仿宋_GB2312"/>
          <w:b w:val="0"/>
          <w:bCs/>
          <w:color w:val="auto"/>
          <w:sz w:val="30"/>
          <w:szCs w:val="30"/>
        </w:rPr>
      </w:pPr>
      <w:bookmarkStart w:id="343" w:name="_Toc25943809"/>
      <w:bookmarkStart w:id="344" w:name="_Toc1660"/>
      <w:bookmarkStart w:id="345" w:name="_Toc12562"/>
      <w:bookmarkStart w:id="346" w:name="_Toc20979"/>
      <w:r>
        <w:rPr>
          <w:rFonts w:hint="eastAsia" w:ascii="仿宋_GB2312" w:hAnsi="仿宋_GB2312" w:eastAsia="仿宋_GB2312" w:cs="仿宋_GB2312"/>
          <w:b w:val="0"/>
          <w:bCs/>
          <w:color w:val="auto"/>
          <w:sz w:val="30"/>
          <w:szCs w:val="30"/>
        </w:rPr>
        <w:t>附表2  杂物电梯日常巡查内容、要求与方法</w:t>
      </w:r>
      <w:bookmarkEnd w:id="343"/>
      <w:bookmarkEnd w:id="344"/>
      <w:bookmarkEnd w:id="345"/>
      <w:bookmarkEnd w:id="346"/>
    </w:p>
    <w:tbl>
      <w:tblPr>
        <w:tblStyle w:val="8"/>
        <w:tblW w:w="966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41"/>
        <w:gridCol w:w="2764"/>
        <w:gridCol w:w="3711"/>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641" w:type="dxa"/>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序号</w:t>
            </w:r>
          </w:p>
        </w:tc>
        <w:tc>
          <w:tcPr>
            <w:tcW w:w="2764" w:type="dxa"/>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巡查项目、内容</w:t>
            </w:r>
          </w:p>
        </w:tc>
        <w:tc>
          <w:tcPr>
            <w:tcW w:w="3711" w:type="dxa"/>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要求</w:t>
            </w:r>
          </w:p>
        </w:tc>
        <w:tc>
          <w:tcPr>
            <w:tcW w:w="2551" w:type="dxa"/>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641" w:type="dxa"/>
            <w:noWrap/>
            <w:vAlign w:val="center"/>
          </w:tcPr>
          <w:p>
            <w:pPr>
              <w:pStyle w:val="4"/>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w:t>
            </w:r>
          </w:p>
        </w:tc>
        <w:tc>
          <w:tcPr>
            <w:tcW w:w="2764"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机房巡查</w:t>
            </w:r>
          </w:p>
        </w:tc>
        <w:tc>
          <w:tcPr>
            <w:tcW w:w="3711"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1、机房清洁、无与电梯无关的物品和设备</w:t>
            </w:r>
          </w:p>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2、门窗完好、门外侧应有安全标志</w:t>
            </w:r>
          </w:p>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3、照明工作正常</w:t>
            </w:r>
          </w:p>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4、温度保持在5℃～40℃之间</w:t>
            </w:r>
          </w:p>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5、消防设施有效</w:t>
            </w:r>
          </w:p>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6、安全标识齐全、清晰</w:t>
            </w:r>
          </w:p>
        </w:tc>
        <w:tc>
          <w:tcPr>
            <w:tcW w:w="2551"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1、目测</w:t>
            </w:r>
          </w:p>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2、目测</w:t>
            </w:r>
          </w:p>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3、目测，操作照明开关验证</w:t>
            </w:r>
          </w:p>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4、体感，必要时测量</w:t>
            </w:r>
          </w:p>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5、查看标记</w:t>
            </w:r>
          </w:p>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6、目测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641" w:type="dxa"/>
            <w:noWrap/>
            <w:vAlign w:val="center"/>
          </w:tcPr>
          <w:p>
            <w:pPr>
              <w:pStyle w:val="4"/>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2</w:t>
            </w:r>
          </w:p>
        </w:tc>
        <w:tc>
          <w:tcPr>
            <w:tcW w:w="2764"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手动紧急操作装置</w:t>
            </w:r>
          </w:p>
        </w:tc>
        <w:tc>
          <w:tcPr>
            <w:tcW w:w="3711"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齐全，在指定位置</w:t>
            </w:r>
          </w:p>
        </w:tc>
        <w:tc>
          <w:tcPr>
            <w:tcW w:w="2551"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目测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641" w:type="dxa"/>
            <w:noWrap/>
            <w:vAlign w:val="center"/>
          </w:tcPr>
          <w:p>
            <w:pPr>
              <w:pStyle w:val="4"/>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3</w:t>
            </w:r>
          </w:p>
        </w:tc>
        <w:tc>
          <w:tcPr>
            <w:tcW w:w="2764"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运行状态、平层情况</w:t>
            </w:r>
          </w:p>
        </w:tc>
        <w:tc>
          <w:tcPr>
            <w:tcW w:w="3711"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无异常抖动或异常声响，平层正常</w:t>
            </w:r>
          </w:p>
        </w:tc>
        <w:tc>
          <w:tcPr>
            <w:tcW w:w="2551"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观察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641" w:type="dxa"/>
            <w:noWrap/>
            <w:vAlign w:val="center"/>
          </w:tcPr>
          <w:p>
            <w:pPr>
              <w:pStyle w:val="4"/>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4</w:t>
            </w:r>
          </w:p>
        </w:tc>
        <w:tc>
          <w:tcPr>
            <w:tcW w:w="2764"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层轿门开启、关闭情况</w:t>
            </w:r>
          </w:p>
        </w:tc>
        <w:tc>
          <w:tcPr>
            <w:tcW w:w="3711"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层轿门开启、关闭正常；防夹人装置功能正常</w:t>
            </w:r>
          </w:p>
        </w:tc>
        <w:tc>
          <w:tcPr>
            <w:tcW w:w="2551"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观察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641" w:type="dxa"/>
            <w:noWrap/>
            <w:vAlign w:val="center"/>
          </w:tcPr>
          <w:p>
            <w:pPr>
              <w:pStyle w:val="4"/>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5</w:t>
            </w:r>
          </w:p>
        </w:tc>
        <w:tc>
          <w:tcPr>
            <w:tcW w:w="2764"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层站召唤、层楼显示</w:t>
            </w:r>
          </w:p>
        </w:tc>
        <w:tc>
          <w:tcPr>
            <w:tcW w:w="3711"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按钮完好，齐全有效</w:t>
            </w:r>
          </w:p>
        </w:tc>
        <w:tc>
          <w:tcPr>
            <w:tcW w:w="2551"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观察，并通过揿压按钮进行验证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641" w:type="dxa"/>
            <w:noWrap/>
            <w:vAlign w:val="center"/>
          </w:tcPr>
          <w:p>
            <w:pPr>
              <w:pStyle w:val="4"/>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6</w:t>
            </w:r>
          </w:p>
        </w:tc>
        <w:tc>
          <w:tcPr>
            <w:tcW w:w="2764"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轿门、层门地坎</w:t>
            </w:r>
          </w:p>
        </w:tc>
        <w:tc>
          <w:tcPr>
            <w:tcW w:w="3711"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清洁无异物</w:t>
            </w:r>
          </w:p>
        </w:tc>
        <w:tc>
          <w:tcPr>
            <w:tcW w:w="2551"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目测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641" w:type="dxa"/>
            <w:noWrap/>
            <w:vAlign w:val="center"/>
          </w:tcPr>
          <w:p>
            <w:pPr>
              <w:pStyle w:val="4"/>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7</w:t>
            </w:r>
          </w:p>
        </w:tc>
        <w:tc>
          <w:tcPr>
            <w:tcW w:w="2764" w:type="dxa"/>
            <w:noWrap/>
            <w:vAlign w:val="center"/>
          </w:tcPr>
          <w:p>
            <w:pPr>
              <w:snapToGrid w:val="0"/>
              <w:rPr>
                <w:rFonts w:ascii="Times New Roman" w:hAnsi="Times New Roman" w:cs="Times New Roman"/>
                <w:color w:val="auto"/>
                <w:sz w:val="18"/>
                <w:szCs w:val="18"/>
              </w:rPr>
            </w:pPr>
            <w:r>
              <w:rPr>
                <w:rFonts w:ascii="Times New Roman" w:hAnsi="Times New Roman" w:eastAsia="宋体" w:cs="Times New Roman"/>
                <w:color w:val="auto"/>
                <w:sz w:val="18"/>
                <w:szCs w:val="18"/>
              </w:rPr>
              <w:t>电梯使用标志、安全警示标志、</w:t>
            </w:r>
            <w:r>
              <w:rPr>
                <w:rFonts w:ascii="Times New Roman" w:hAnsi="Times New Roman" w:cs="Times New Roman"/>
                <w:color w:val="auto"/>
                <w:sz w:val="18"/>
                <w:szCs w:val="18"/>
              </w:rPr>
              <w:t>96333</w:t>
            </w:r>
            <w:r>
              <w:rPr>
                <w:rFonts w:ascii="Times New Roman" w:hAnsi="Times New Roman" w:eastAsia="宋体" w:cs="Times New Roman"/>
                <w:color w:val="auto"/>
                <w:sz w:val="18"/>
                <w:szCs w:val="18"/>
              </w:rPr>
              <w:t>标识、安全注意事项</w:t>
            </w:r>
          </w:p>
        </w:tc>
        <w:tc>
          <w:tcPr>
            <w:tcW w:w="3711"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齐全清晰，且在有效期内</w:t>
            </w:r>
          </w:p>
        </w:tc>
        <w:tc>
          <w:tcPr>
            <w:tcW w:w="2551" w:type="dxa"/>
            <w:noWrap/>
            <w:vAlign w:val="center"/>
          </w:tcPr>
          <w:p>
            <w:pPr>
              <w:pStyle w:val="4"/>
              <w:snapToGrid w:val="0"/>
              <w:rPr>
                <w:rFonts w:ascii="Times New Roman" w:hAnsi="Times New Roman" w:cs="Times New Roman"/>
                <w:color w:val="auto"/>
                <w:kern w:val="0"/>
                <w:sz w:val="18"/>
              </w:rPr>
            </w:pPr>
            <w:r>
              <w:rPr>
                <w:rFonts w:ascii="Times New Roman" w:hAnsi="Times New Roman" w:cs="Times New Roman"/>
                <w:color w:val="auto"/>
                <w:kern w:val="0"/>
                <w:sz w:val="18"/>
              </w:rPr>
              <w:t>目测</w:t>
            </w:r>
          </w:p>
        </w:tc>
      </w:tr>
    </w:tbl>
    <w:p>
      <w:pPr>
        <w:pStyle w:val="10"/>
        <w:snapToGrid w:val="0"/>
        <w:spacing w:line="240" w:lineRule="auto"/>
        <w:jc w:val="center"/>
        <w:rPr>
          <w:rFonts w:hint="eastAsia" w:ascii="仿宋_GB2312" w:hAnsi="仿宋_GB2312" w:eastAsia="仿宋_GB2312" w:cs="仿宋_GB2312"/>
          <w:b w:val="0"/>
          <w:bCs/>
          <w:color w:val="auto"/>
          <w:sz w:val="30"/>
          <w:szCs w:val="30"/>
        </w:rPr>
      </w:pPr>
      <w:bookmarkStart w:id="347" w:name="_Toc24797"/>
      <w:bookmarkStart w:id="348" w:name="_Toc30490"/>
      <w:bookmarkStart w:id="349" w:name="_Toc25943810"/>
      <w:bookmarkStart w:id="350" w:name="_Toc22505"/>
      <w:r>
        <w:rPr>
          <w:rFonts w:hint="eastAsia" w:ascii="仿宋_GB2312" w:hAnsi="仿宋_GB2312" w:eastAsia="仿宋_GB2312" w:cs="仿宋_GB2312"/>
          <w:b w:val="0"/>
          <w:bCs/>
          <w:color w:val="auto"/>
          <w:sz w:val="30"/>
          <w:szCs w:val="30"/>
        </w:rPr>
        <w:t>附表3  自动扶梯与自动人行道电梯日常巡查内容、要求与方法</w:t>
      </w:r>
      <w:bookmarkEnd w:id="347"/>
      <w:bookmarkEnd w:id="348"/>
      <w:bookmarkEnd w:id="349"/>
      <w:bookmarkEnd w:id="350"/>
    </w:p>
    <w:tbl>
      <w:tblPr>
        <w:tblStyle w:val="8"/>
        <w:tblW w:w="974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64"/>
        <w:gridCol w:w="2627"/>
        <w:gridCol w:w="4138"/>
        <w:gridCol w:w="2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664" w:type="dxa"/>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序号</w:t>
            </w:r>
          </w:p>
        </w:tc>
        <w:tc>
          <w:tcPr>
            <w:tcW w:w="2627" w:type="dxa"/>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巡查项目、内容</w:t>
            </w:r>
          </w:p>
        </w:tc>
        <w:tc>
          <w:tcPr>
            <w:tcW w:w="4138" w:type="dxa"/>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要求</w:t>
            </w:r>
          </w:p>
        </w:tc>
        <w:tc>
          <w:tcPr>
            <w:tcW w:w="2318" w:type="dxa"/>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664" w:type="dxa"/>
            <w:noWrap/>
            <w:vAlign w:val="center"/>
          </w:tcPr>
          <w:p>
            <w:pPr>
              <w:pStyle w:val="4"/>
              <w:snapToGrid w:val="0"/>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1</w:t>
            </w:r>
          </w:p>
        </w:tc>
        <w:tc>
          <w:tcPr>
            <w:tcW w:w="2627"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出入口区域</w:t>
            </w:r>
          </w:p>
        </w:tc>
        <w:tc>
          <w:tcPr>
            <w:tcW w:w="4138" w:type="dxa"/>
            <w:noWrap/>
            <w:vAlign w:val="center"/>
          </w:tcPr>
          <w:p>
            <w:pPr>
              <w:pStyle w:val="4"/>
              <w:snapToGrid w:val="0"/>
              <w:rPr>
                <w:rFonts w:ascii="Times New Roman" w:hAnsi="Times New Roman" w:cs="Times New Roman"/>
                <w:color w:val="auto"/>
                <w:kern w:val="0"/>
                <w:sz w:val="18"/>
                <w:szCs w:val="18"/>
              </w:rPr>
            </w:pPr>
            <w:bookmarkStart w:id="351" w:name="_Toc463793839"/>
            <w:bookmarkStart w:id="352" w:name="_Toc463626523"/>
            <w:bookmarkStart w:id="353" w:name="_Toc463644313"/>
            <w:bookmarkStart w:id="354" w:name="_Toc463959558"/>
            <w:bookmarkStart w:id="355" w:name="_Toc464491327"/>
            <w:bookmarkStart w:id="356" w:name="_Toc464738884"/>
            <w:bookmarkStart w:id="357" w:name="_Toc464150295"/>
            <w:bookmarkStart w:id="358" w:name="_Toc464063266"/>
            <w:bookmarkStart w:id="359" w:name="_Toc465587510"/>
            <w:bookmarkStart w:id="360" w:name="_Toc464748824"/>
            <w:bookmarkStart w:id="361" w:name="_Toc463816144"/>
            <w:bookmarkStart w:id="362" w:name="_Toc465078669"/>
            <w:bookmarkStart w:id="363" w:name="_Toc465032008"/>
            <w:bookmarkStart w:id="364" w:name="_Toc5652"/>
            <w:r>
              <w:rPr>
                <w:rFonts w:ascii="Times New Roman" w:hAnsi="Times New Roman" w:cs="Times New Roman"/>
                <w:color w:val="auto"/>
                <w:kern w:val="0"/>
                <w:sz w:val="18"/>
                <w:szCs w:val="18"/>
              </w:rPr>
              <w:t>1、通道清洁、畅通</w:t>
            </w:r>
            <w:bookmarkEnd w:id="351"/>
            <w:bookmarkEnd w:id="352"/>
            <w:bookmarkEnd w:id="353"/>
            <w:r>
              <w:rPr>
                <w:rFonts w:ascii="Times New Roman" w:hAnsi="Times New Roman" w:cs="Times New Roman"/>
                <w:color w:val="auto"/>
                <w:kern w:val="0"/>
                <w:sz w:val="18"/>
                <w:szCs w:val="18"/>
              </w:rPr>
              <w:t>、无杂物</w:t>
            </w:r>
            <w:bookmarkEnd w:id="354"/>
            <w:bookmarkEnd w:id="355"/>
            <w:bookmarkEnd w:id="356"/>
            <w:bookmarkEnd w:id="357"/>
            <w:bookmarkEnd w:id="358"/>
            <w:bookmarkEnd w:id="359"/>
            <w:bookmarkEnd w:id="360"/>
            <w:bookmarkEnd w:id="361"/>
            <w:bookmarkEnd w:id="362"/>
            <w:bookmarkEnd w:id="363"/>
            <w:bookmarkEnd w:id="364"/>
          </w:p>
          <w:p>
            <w:pPr>
              <w:pStyle w:val="4"/>
              <w:snapToGrid w:val="0"/>
              <w:rPr>
                <w:rFonts w:ascii="Times New Roman" w:hAnsi="Times New Roman" w:cs="Times New Roman"/>
                <w:color w:val="auto"/>
                <w:kern w:val="0"/>
                <w:sz w:val="18"/>
                <w:szCs w:val="18"/>
              </w:rPr>
            </w:pPr>
            <w:bookmarkStart w:id="365" w:name="_Toc464063267"/>
            <w:bookmarkStart w:id="366" w:name="_Toc465587511"/>
            <w:bookmarkStart w:id="367" w:name="_Toc463793840"/>
            <w:bookmarkStart w:id="368" w:name="_Toc465032009"/>
            <w:bookmarkStart w:id="369" w:name="_Toc463959559"/>
            <w:bookmarkStart w:id="370" w:name="_Toc464150296"/>
            <w:bookmarkStart w:id="371" w:name="_Toc464748825"/>
            <w:bookmarkStart w:id="372" w:name="_Toc465078670"/>
            <w:bookmarkStart w:id="373" w:name="_Toc464491328"/>
            <w:bookmarkStart w:id="374" w:name="_Toc463644314"/>
            <w:bookmarkStart w:id="375" w:name="_Toc463816145"/>
            <w:bookmarkStart w:id="376" w:name="_Toc464738885"/>
            <w:bookmarkStart w:id="377" w:name="_Toc31418"/>
            <w:bookmarkStart w:id="378" w:name="_Toc463626524"/>
            <w:r>
              <w:rPr>
                <w:rFonts w:ascii="Times New Roman" w:hAnsi="Times New Roman" w:cs="Times New Roman"/>
                <w:color w:val="auto"/>
                <w:kern w:val="0"/>
                <w:sz w:val="18"/>
                <w:szCs w:val="18"/>
              </w:rPr>
              <w:t>2、上下出入口处的照明工作正常</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pStyle w:val="4"/>
              <w:snapToGrid w:val="0"/>
              <w:rPr>
                <w:rFonts w:ascii="Times New Roman" w:hAnsi="Times New Roman" w:cs="Times New Roman"/>
                <w:color w:val="auto"/>
                <w:kern w:val="0"/>
                <w:sz w:val="18"/>
                <w:szCs w:val="18"/>
              </w:rPr>
            </w:pPr>
            <w:bookmarkStart w:id="379" w:name="_Toc463816146"/>
            <w:bookmarkStart w:id="380" w:name="_Toc464748826"/>
            <w:bookmarkStart w:id="381" w:name="_Toc463793841"/>
            <w:bookmarkStart w:id="382" w:name="_Toc465587512"/>
            <w:bookmarkStart w:id="383" w:name="_Toc464738886"/>
            <w:bookmarkStart w:id="384" w:name="_Toc464150297"/>
            <w:bookmarkStart w:id="385" w:name="_Toc463644315"/>
            <w:bookmarkStart w:id="386" w:name="_Toc17045"/>
            <w:bookmarkStart w:id="387" w:name="_Toc465032010"/>
            <w:bookmarkStart w:id="388" w:name="_Toc463626525"/>
            <w:bookmarkStart w:id="389" w:name="_Toc463959560"/>
            <w:bookmarkStart w:id="390" w:name="_Toc465078671"/>
            <w:bookmarkStart w:id="391" w:name="_Toc464491329"/>
            <w:bookmarkStart w:id="392" w:name="_Toc464063268"/>
            <w:r>
              <w:rPr>
                <w:rFonts w:ascii="Times New Roman" w:hAnsi="Times New Roman" w:cs="Times New Roman"/>
                <w:color w:val="auto"/>
                <w:kern w:val="0"/>
                <w:sz w:val="18"/>
                <w:szCs w:val="18"/>
              </w:rPr>
              <w:t>3、上下出入口和扶梯之间保护栏杆牢固可靠</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tc>
        <w:tc>
          <w:tcPr>
            <w:tcW w:w="2318" w:type="dxa"/>
            <w:noWrap/>
            <w:vAlign w:val="center"/>
          </w:tcPr>
          <w:p>
            <w:pPr>
              <w:pStyle w:val="4"/>
              <w:snapToGrid w:val="0"/>
              <w:rPr>
                <w:rFonts w:ascii="Times New Roman" w:hAnsi="Times New Roman" w:cs="Times New Roman"/>
                <w:color w:val="auto"/>
                <w:kern w:val="0"/>
                <w:sz w:val="18"/>
                <w:szCs w:val="18"/>
              </w:rPr>
            </w:pPr>
            <w:bookmarkStart w:id="393" w:name="_Toc464738887"/>
            <w:bookmarkStart w:id="394" w:name="_Toc24139"/>
            <w:bookmarkStart w:id="395" w:name="_Toc465587513"/>
            <w:bookmarkStart w:id="396" w:name="_Toc463793842"/>
            <w:bookmarkStart w:id="397" w:name="_Toc463626526"/>
            <w:bookmarkStart w:id="398" w:name="_Toc464150298"/>
            <w:bookmarkStart w:id="399" w:name="_Toc465032011"/>
            <w:bookmarkStart w:id="400" w:name="_Toc463816147"/>
            <w:bookmarkStart w:id="401" w:name="_Toc463959561"/>
            <w:bookmarkStart w:id="402" w:name="_Toc464063269"/>
            <w:bookmarkStart w:id="403" w:name="_Toc464491330"/>
            <w:bookmarkStart w:id="404" w:name="_Toc463644316"/>
            <w:bookmarkStart w:id="405" w:name="_Toc465078672"/>
            <w:bookmarkStart w:id="406" w:name="_Toc464748827"/>
            <w:r>
              <w:rPr>
                <w:rFonts w:ascii="Times New Roman" w:hAnsi="Times New Roman" w:cs="Times New Roman"/>
                <w:color w:val="auto"/>
                <w:kern w:val="0"/>
                <w:sz w:val="18"/>
                <w:szCs w:val="18"/>
              </w:rPr>
              <w:t>1、目测</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pPr>
              <w:pStyle w:val="4"/>
              <w:snapToGrid w:val="0"/>
              <w:rPr>
                <w:rFonts w:ascii="Times New Roman" w:hAnsi="Times New Roman" w:cs="Times New Roman"/>
                <w:color w:val="auto"/>
                <w:kern w:val="0"/>
                <w:sz w:val="18"/>
                <w:szCs w:val="18"/>
              </w:rPr>
            </w:pPr>
            <w:bookmarkStart w:id="407" w:name="_Toc464150299"/>
            <w:bookmarkStart w:id="408" w:name="_Toc465078673"/>
            <w:bookmarkStart w:id="409" w:name="_Toc463793843"/>
            <w:bookmarkStart w:id="410" w:name="_Toc464491331"/>
            <w:bookmarkStart w:id="411" w:name="_Toc463626527"/>
            <w:bookmarkStart w:id="412" w:name="_Toc463959562"/>
            <w:bookmarkStart w:id="413" w:name="_Toc464063270"/>
            <w:bookmarkStart w:id="414" w:name="_Toc465587514"/>
            <w:bookmarkStart w:id="415" w:name="_Toc465032012"/>
            <w:bookmarkStart w:id="416" w:name="_Toc463644317"/>
            <w:bookmarkStart w:id="417" w:name="_Toc24133"/>
            <w:bookmarkStart w:id="418" w:name="_Toc464748828"/>
            <w:bookmarkStart w:id="419" w:name="_Toc463816148"/>
            <w:bookmarkStart w:id="420" w:name="_Toc464738888"/>
            <w:r>
              <w:rPr>
                <w:rFonts w:ascii="Times New Roman" w:hAnsi="Times New Roman" w:cs="Times New Roman"/>
                <w:color w:val="auto"/>
                <w:kern w:val="0"/>
                <w:sz w:val="18"/>
                <w:szCs w:val="18"/>
              </w:rPr>
              <w:t>2、目测，操作照明开关验证</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pStyle w:val="4"/>
              <w:snapToGrid w:val="0"/>
              <w:rPr>
                <w:rFonts w:ascii="Times New Roman" w:hAnsi="Times New Roman" w:cs="Times New Roman"/>
                <w:color w:val="auto"/>
                <w:kern w:val="0"/>
                <w:sz w:val="18"/>
                <w:szCs w:val="18"/>
              </w:rPr>
            </w:pPr>
            <w:bookmarkStart w:id="421" w:name="_Toc7729"/>
            <w:bookmarkStart w:id="422" w:name="_Toc464150300"/>
            <w:bookmarkStart w:id="423" w:name="_Toc463959563"/>
            <w:bookmarkStart w:id="424" w:name="_Toc463626528"/>
            <w:bookmarkStart w:id="425" w:name="_Toc464748829"/>
            <w:bookmarkStart w:id="426" w:name="_Toc463816149"/>
            <w:bookmarkStart w:id="427" w:name="_Toc465032013"/>
            <w:bookmarkStart w:id="428" w:name="_Toc464738889"/>
            <w:bookmarkStart w:id="429" w:name="_Toc465078674"/>
            <w:bookmarkStart w:id="430" w:name="_Toc463644318"/>
            <w:bookmarkStart w:id="431" w:name="_Toc463793844"/>
            <w:bookmarkStart w:id="432" w:name="_Toc464063271"/>
            <w:bookmarkStart w:id="433" w:name="_Toc464491332"/>
            <w:bookmarkStart w:id="434" w:name="_Toc465587515"/>
            <w:r>
              <w:rPr>
                <w:rFonts w:ascii="Times New Roman" w:hAnsi="Times New Roman" w:cs="Times New Roman"/>
                <w:color w:val="auto"/>
                <w:kern w:val="0"/>
                <w:sz w:val="18"/>
                <w:szCs w:val="18"/>
              </w:rPr>
              <w:t>3、手感，必要时测量</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664" w:type="dxa"/>
            <w:noWrap/>
            <w:vAlign w:val="center"/>
          </w:tcPr>
          <w:p>
            <w:pPr>
              <w:pStyle w:val="4"/>
              <w:snapToGrid w:val="0"/>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2</w:t>
            </w:r>
          </w:p>
        </w:tc>
        <w:tc>
          <w:tcPr>
            <w:tcW w:w="2627"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运行状态</w:t>
            </w:r>
          </w:p>
        </w:tc>
        <w:tc>
          <w:tcPr>
            <w:tcW w:w="413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无异常抖动或异常声响</w:t>
            </w:r>
          </w:p>
        </w:tc>
        <w:tc>
          <w:tcPr>
            <w:tcW w:w="231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观察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664" w:type="dxa"/>
            <w:noWrap/>
            <w:vAlign w:val="center"/>
          </w:tcPr>
          <w:p>
            <w:pPr>
              <w:pStyle w:val="4"/>
              <w:snapToGrid w:val="0"/>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3</w:t>
            </w:r>
          </w:p>
        </w:tc>
        <w:tc>
          <w:tcPr>
            <w:tcW w:w="2627"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急停开关</w:t>
            </w:r>
          </w:p>
        </w:tc>
        <w:tc>
          <w:tcPr>
            <w:tcW w:w="413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可靠有效</w:t>
            </w:r>
          </w:p>
        </w:tc>
        <w:tc>
          <w:tcPr>
            <w:tcW w:w="231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手动试验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664" w:type="dxa"/>
            <w:noWrap/>
            <w:vAlign w:val="center"/>
          </w:tcPr>
          <w:p>
            <w:pPr>
              <w:pStyle w:val="4"/>
              <w:snapToGrid w:val="0"/>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4</w:t>
            </w:r>
          </w:p>
        </w:tc>
        <w:tc>
          <w:tcPr>
            <w:tcW w:w="2627"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扶手带入口处保护开关</w:t>
            </w:r>
          </w:p>
        </w:tc>
        <w:tc>
          <w:tcPr>
            <w:tcW w:w="413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动作灵活可靠，无垃圾</w:t>
            </w:r>
          </w:p>
        </w:tc>
        <w:tc>
          <w:tcPr>
            <w:tcW w:w="231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手动试验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664" w:type="dxa"/>
            <w:noWrap/>
            <w:vAlign w:val="center"/>
          </w:tcPr>
          <w:p>
            <w:pPr>
              <w:pStyle w:val="4"/>
              <w:snapToGrid w:val="0"/>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5</w:t>
            </w:r>
          </w:p>
        </w:tc>
        <w:tc>
          <w:tcPr>
            <w:tcW w:w="2627"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梯级或踏板</w:t>
            </w:r>
          </w:p>
        </w:tc>
        <w:tc>
          <w:tcPr>
            <w:tcW w:w="413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表面完好、清洁</w:t>
            </w:r>
          </w:p>
        </w:tc>
        <w:tc>
          <w:tcPr>
            <w:tcW w:w="231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目测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664" w:type="dxa"/>
            <w:noWrap/>
            <w:vAlign w:val="center"/>
          </w:tcPr>
          <w:p>
            <w:pPr>
              <w:pStyle w:val="4"/>
              <w:snapToGrid w:val="0"/>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6</w:t>
            </w:r>
          </w:p>
        </w:tc>
        <w:tc>
          <w:tcPr>
            <w:tcW w:w="2627"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梳齿板</w:t>
            </w:r>
          </w:p>
        </w:tc>
        <w:tc>
          <w:tcPr>
            <w:tcW w:w="413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完好、啮合正常</w:t>
            </w:r>
          </w:p>
        </w:tc>
        <w:tc>
          <w:tcPr>
            <w:tcW w:w="231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目测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664" w:type="dxa"/>
            <w:noWrap/>
            <w:vAlign w:val="center"/>
          </w:tcPr>
          <w:p>
            <w:pPr>
              <w:pStyle w:val="4"/>
              <w:snapToGrid w:val="0"/>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7</w:t>
            </w:r>
          </w:p>
        </w:tc>
        <w:tc>
          <w:tcPr>
            <w:tcW w:w="2627"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扶手带</w:t>
            </w:r>
          </w:p>
        </w:tc>
        <w:tc>
          <w:tcPr>
            <w:tcW w:w="413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表面无毛刺，无损伤，出入口处居中，运行无摩擦</w:t>
            </w:r>
          </w:p>
        </w:tc>
        <w:tc>
          <w:tcPr>
            <w:tcW w:w="231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目测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664" w:type="dxa"/>
            <w:noWrap/>
            <w:vAlign w:val="center"/>
          </w:tcPr>
          <w:p>
            <w:pPr>
              <w:pStyle w:val="4"/>
              <w:snapToGrid w:val="0"/>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8</w:t>
            </w:r>
          </w:p>
        </w:tc>
        <w:tc>
          <w:tcPr>
            <w:tcW w:w="2627"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防夹装置</w:t>
            </w:r>
          </w:p>
        </w:tc>
        <w:tc>
          <w:tcPr>
            <w:tcW w:w="413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牢固可靠</w:t>
            </w:r>
          </w:p>
        </w:tc>
        <w:tc>
          <w:tcPr>
            <w:tcW w:w="231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目测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664" w:type="dxa"/>
            <w:noWrap/>
            <w:vAlign w:val="center"/>
          </w:tcPr>
          <w:p>
            <w:pPr>
              <w:pStyle w:val="4"/>
              <w:snapToGrid w:val="0"/>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9</w:t>
            </w:r>
          </w:p>
        </w:tc>
        <w:tc>
          <w:tcPr>
            <w:tcW w:w="2627"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防爬/阻挡/防滑装置、防护挡板</w:t>
            </w:r>
          </w:p>
        </w:tc>
        <w:tc>
          <w:tcPr>
            <w:tcW w:w="413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完好</w:t>
            </w:r>
          </w:p>
        </w:tc>
        <w:tc>
          <w:tcPr>
            <w:tcW w:w="231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目测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664" w:type="dxa"/>
            <w:noWrap/>
            <w:vAlign w:val="center"/>
          </w:tcPr>
          <w:p>
            <w:pPr>
              <w:pStyle w:val="4"/>
              <w:snapToGrid w:val="0"/>
              <w:jc w:val="center"/>
              <w:rPr>
                <w:rFonts w:ascii="Times New Roman" w:hAnsi="Times New Roman" w:cs="Times New Roman"/>
                <w:color w:val="auto"/>
                <w:kern w:val="0"/>
                <w:sz w:val="18"/>
                <w:szCs w:val="18"/>
              </w:rPr>
            </w:pPr>
            <w:r>
              <w:rPr>
                <w:rFonts w:ascii="Times New Roman" w:hAnsi="Times New Roman" w:cs="Times New Roman"/>
                <w:color w:val="auto"/>
                <w:kern w:val="0"/>
                <w:sz w:val="18"/>
                <w:szCs w:val="18"/>
              </w:rPr>
              <w:t>10</w:t>
            </w:r>
          </w:p>
        </w:tc>
        <w:tc>
          <w:tcPr>
            <w:tcW w:w="2627"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电梯使用标志、安全警示标志、96333标识、安全注意事项</w:t>
            </w:r>
          </w:p>
        </w:tc>
        <w:tc>
          <w:tcPr>
            <w:tcW w:w="413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齐全清晰，且在有效期内</w:t>
            </w:r>
          </w:p>
        </w:tc>
        <w:tc>
          <w:tcPr>
            <w:tcW w:w="2318" w:type="dxa"/>
            <w:noWrap/>
            <w:vAlign w:val="center"/>
          </w:tcPr>
          <w:p>
            <w:pPr>
              <w:pStyle w:val="4"/>
              <w:snapToGrid w:val="0"/>
              <w:rPr>
                <w:rFonts w:ascii="Times New Roman" w:hAnsi="Times New Roman" w:cs="Times New Roman"/>
                <w:color w:val="auto"/>
                <w:kern w:val="0"/>
                <w:sz w:val="18"/>
                <w:szCs w:val="18"/>
              </w:rPr>
            </w:pPr>
            <w:r>
              <w:rPr>
                <w:rFonts w:ascii="Times New Roman" w:hAnsi="Times New Roman" w:cs="Times New Roman"/>
                <w:color w:val="auto"/>
                <w:kern w:val="0"/>
                <w:sz w:val="18"/>
                <w:szCs w:val="18"/>
              </w:rPr>
              <w:t>目测</w:t>
            </w:r>
          </w:p>
        </w:tc>
      </w:tr>
    </w:tbl>
    <w:p>
      <w:pPr>
        <w:snapToGrid w:val="0"/>
        <w:rPr>
          <w:rFonts w:ascii="Times New Roman" w:hAnsi="Times New Roman" w:cs="Times New Roman"/>
          <w:color w:val="auto"/>
          <w:sz w:val="18"/>
          <w:szCs w:val="18"/>
        </w:rPr>
      </w:pPr>
    </w:p>
    <w:p>
      <w:pPr>
        <w:snapToGrid w:val="0"/>
        <w:rPr>
          <w:rFonts w:ascii="Times New Roman" w:hAnsi="Times New Roman" w:cs="Times New Roman"/>
          <w:color w:val="auto"/>
          <w:sz w:val="18"/>
          <w:szCs w:val="18"/>
        </w:rPr>
        <w:sectPr>
          <w:pgSz w:w="11900" w:h="16840"/>
          <w:pgMar w:top="1134" w:right="1134" w:bottom="1134" w:left="1134" w:header="851" w:footer="851" w:gutter="0"/>
          <w:pgNumType w:fmt="numberInDash"/>
          <w:cols w:space="720" w:num="1"/>
          <w:docGrid w:linePitch="360" w:charSpace="0"/>
        </w:sect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auto"/>
          <w:kern w:val="2"/>
          <w:sz w:val="32"/>
          <w:szCs w:val="32"/>
          <w:lang w:val="zh-TW" w:eastAsia="zh-TW" w:bidi="zh-TW"/>
        </w:rPr>
      </w:pPr>
      <w:r>
        <w:rPr>
          <w:rFonts w:hint="eastAsia" w:ascii="方正小标宋简体" w:hAnsi="方正小标宋简体" w:eastAsia="方正小标宋简体" w:cs="方正小标宋简体"/>
          <w:b w:val="0"/>
          <w:bCs/>
          <w:color w:val="auto"/>
          <w:kern w:val="2"/>
          <w:sz w:val="32"/>
          <w:szCs w:val="32"/>
          <w:lang w:val="zh-TW" w:eastAsia="zh-TW" w:bidi="zh-TW"/>
        </w:rPr>
        <w:t>表</w:t>
      </w:r>
      <w:r>
        <w:rPr>
          <w:rFonts w:hint="eastAsia" w:ascii="方正小标宋简体" w:hAnsi="方正小标宋简体" w:eastAsia="方正小标宋简体" w:cs="方正小标宋简体"/>
          <w:b w:val="0"/>
          <w:bCs/>
          <w:color w:val="auto"/>
          <w:kern w:val="2"/>
          <w:sz w:val="32"/>
          <w:szCs w:val="32"/>
          <w:lang w:val="en-US" w:eastAsia="zh-CN" w:bidi="zh-TW"/>
        </w:rPr>
        <w:t xml:space="preserve">B.11 </w:t>
      </w:r>
      <w:r>
        <w:rPr>
          <w:rFonts w:hint="eastAsia" w:ascii="方正小标宋简体" w:hAnsi="方正小标宋简体" w:eastAsia="方正小标宋简体" w:cs="方正小标宋简体"/>
          <w:b w:val="0"/>
          <w:bCs/>
          <w:color w:val="auto"/>
          <w:kern w:val="2"/>
          <w:sz w:val="32"/>
          <w:szCs w:val="32"/>
          <w:lang w:val="zh-TW" w:eastAsia="zh-TW" w:bidi="zh-TW"/>
        </w:rPr>
        <w:t>特种设备</w:t>
      </w:r>
      <w:r>
        <w:rPr>
          <w:rFonts w:hint="eastAsia" w:ascii="方正小标宋简体" w:hAnsi="方正小标宋简体" w:eastAsia="方正小标宋简体" w:cs="方正小标宋简体"/>
          <w:b w:val="0"/>
          <w:bCs/>
          <w:color w:val="auto"/>
          <w:kern w:val="2"/>
          <w:sz w:val="32"/>
          <w:szCs w:val="32"/>
          <w:lang w:val="zh-TW" w:eastAsia="zh-CN" w:bidi="zh-TW"/>
        </w:rPr>
        <w:t>隐患排查清单——起重机械专项</w:t>
      </w:r>
      <w:r>
        <w:rPr>
          <w:rFonts w:hint="eastAsia" w:ascii="方正小标宋简体" w:hAnsi="方正小标宋简体" w:eastAsia="方正小标宋简体" w:cs="方正小标宋简体"/>
          <w:b w:val="0"/>
          <w:bCs/>
          <w:color w:val="auto"/>
          <w:kern w:val="2"/>
          <w:sz w:val="32"/>
          <w:szCs w:val="32"/>
          <w:lang w:val="zh-TW" w:eastAsia="zh-TW" w:bidi="zh-TW"/>
        </w:rPr>
        <w:t>要求</w:t>
      </w:r>
    </w:p>
    <w:tbl>
      <w:tblPr>
        <w:tblStyle w:val="8"/>
        <w:tblW w:w="1496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051"/>
        <w:gridCol w:w="593"/>
        <w:gridCol w:w="593"/>
        <w:gridCol w:w="635"/>
        <w:gridCol w:w="2464"/>
        <w:gridCol w:w="1239"/>
        <w:gridCol w:w="83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70" w:hRule="exact"/>
          <w:tblHeader/>
          <w:jc w:val="center"/>
        </w:trPr>
        <w:tc>
          <w:tcPr>
            <w:tcW w:w="1051" w:type="dxa"/>
            <w:vMerge w:val="restart"/>
            <w:tcBorders>
              <w:top w:val="single" w:color="auto" w:sz="12" w:space="0"/>
            </w:tcBorders>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排查内容</w:t>
            </w:r>
          </w:p>
        </w:tc>
        <w:tc>
          <w:tcPr>
            <w:tcW w:w="593" w:type="dxa"/>
            <w:vMerge w:val="restart"/>
            <w:tcBorders>
              <w:top w:val="single" w:color="auto" w:sz="12" w:space="0"/>
            </w:tcBorders>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实施</w:t>
            </w:r>
          </w:p>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单位</w:t>
            </w:r>
          </w:p>
        </w:tc>
        <w:tc>
          <w:tcPr>
            <w:tcW w:w="593" w:type="dxa"/>
            <w:vMerge w:val="restart"/>
            <w:tcBorders>
              <w:top w:val="single" w:color="auto" w:sz="12" w:space="0"/>
            </w:tcBorders>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排查人</w:t>
            </w:r>
          </w:p>
        </w:tc>
        <w:tc>
          <w:tcPr>
            <w:tcW w:w="635" w:type="dxa"/>
            <w:vMerge w:val="restart"/>
            <w:tcBorders>
              <w:top w:val="single" w:color="auto" w:sz="12" w:space="0"/>
            </w:tcBorders>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rPr>
              <w:t>排查</w:t>
            </w:r>
          </w:p>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时间</w:t>
            </w:r>
          </w:p>
        </w:tc>
        <w:tc>
          <w:tcPr>
            <w:tcW w:w="3703" w:type="dxa"/>
            <w:gridSpan w:val="2"/>
            <w:tcBorders>
              <w:top w:val="single" w:color="auto" w:sz="12" w:space="0"/>
            </w:tcBorders>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排查依据</w:t>
            </w:r>
          </w:p>
        </w:tc>
        <w:tc>
          <w:tcPr>
            <w:tcW w:w="8388" w:type="dxa"/>
            <w:vMerge w:val="restart"/>
            <w:tcBorders>
              <w:top w:val="single" w:color="auto" w:sz="12" w:space="0"/>
            </w:tcBorders>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83" w:hRule="exact"/>
          <w:tblHeader/>
          <w:jc w:val="center"/>
        </w:trPr>
        <w:tc>
          <w:tcPr>
            <w:tcW w:w="1051"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593"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593"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635"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2464"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法规</w:t>
            </w:r>
            <w:r>
              <w:rPr>
                <w:rFonts w:ascii="Times New Roman" w:hAnsi="Times New Roman" w:eastAsia="黑体" w:cs="Times New Roman"/>
                <w:b/>
                <w:color w:val="auto"/>
                <w:sz w:val="18"/>
                <w:szCs w:val="18"/>
              </w:rPr>
              <w:t>标准</w:t>
            </w:r>
          </w:p>
        </w:tc>
        <w:tc>
          <w:tcPr>
            <w:tcW w:w="1239"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适用条款</w:t>
            </w:r>
          </w:p>
        </w:tc>
        <w:tc>
          <w:tcPr>
            <w:tcW w:w="8388" w:type="dxa"/>
            <w:vMerge w:val="continue"/>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25" w:hRule="exact"/>
          <w:jc w:val="center"/>
        </w:trPr>
        <w:tc>
          <w:tcPr>
            <w:tcW w:w="1051"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435" w:name="_Hlk53691265"/>
            <w:r>
              <w:rPr>
                <w:rFonts w:ascii="Times New Roman" w:hAnsi="Times New Roman" w:cs="Times New Roman"/>
                <w:color w:val="auto"/>
                <w:sz w:val="18"/>
                <w:szCs w:val="18"/>
              </w:rPr>
              <w:t>选型采购要求</w:t>
            </w:r>
            <w:bookmarkEnd w:id="435"/>
          </w:p>
        </w:tc>
        <w:tc>
          <w:tcPr>
            <w:tcW w:w="593"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593"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安全管理员</w:t>
            </w:r>
          </w:p>
        </w:tc>
        <w:tc>
          <w:tcPr>
            <w:tcW w:w="635"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每年至</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少一次</w:t>
            </w:r>
          </w:p>
        </w:tc>
        <w:tc>
          <w:tcPr>
            <w:tcW w:w="246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起重机械安全技术监察规程一桥式起重机(TSG Q0002-2008)</w:t>
            </w:r>
          </w:p>
        </w:tc>
        <w:tc>
          <w:tcPr>
            <w:tcW w:w="12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en-US" w:bidi="en-US"/>
              </w:rPr>
            </w:pPr>
            <w:r>
              <w:rPr>
                <w:rFonts w:ascii="Times New Roman" w:hAnsi="Times New Roman" w:cs="Times New Roman"/>
                <w:color w:val="auto"/>
                <w:sz w:val="18"/>
                <w:szCs w:val="18"/>
                <w:lang w:val="en-US" w:eastAsia="en-US" w:bidi="en-US"/>
              </w:rPr>
              <w:t>第17、89条</w:t>
            </w:r>
          </w:p>
        </w:tc>
        <w:tc>
          <w:tcPr>
            <w:tcW w:w="8388" w:type="dxa"/>
            <w:vMerge w:val="restart"/>
            <w:shd w:val="clear" w:color="auto" w:fill="FFFFFF"/>
            <w:noWrap/>
            <w:vAlign w:val="center"/>
          </w:tcPr>
          <w:p>
            <w:pPr>
              <w:pStyle w:val="10"/>
              <w:snapToGrid w:val="0"/>
              <w:spacing w:line="240" w:lineRule="auto"/>
              <w:rPr>
                <w:rFonts w:ascii="Times New Roman" w:hAnsi="Times New Roman" w:eastAsia="PMingLiU" w:cs="Times New Roman"/>
                <w:color w:val="auto"/>
                <w:sz w:val="18"/>
                <w:szCs w:val="18"/>
              </w:rPr>
            </w:pPr>
            <w:r>
              <w:rPr>
                <w:rFonts w:ascii="Times New Roman" w:hAnsi="Times New Roman" w:cs="Times New Roman"/>
                <w:color w:val="auto"/>
                <w:sz w:val="18"/>
                <w:szCs w:val="18"/>
              </w:rPr>
              <w:t>起重机应当在设计规定的工况和环境中使用,使用单位应当对起重机的选型和使用安全负责。</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使用单位应当根据使用现场环境以及吊运物品的要求，购置和使用适合的并且有起重机制造许可证的起重机。具体选型要求可参照GB/T 6067.1—2010第14章要求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32" w:hRule="exact"/>
          <w:jc w:val="center"/>
        </w:trPr>
        <w:tc>
          <w:tcPr>
            <w:tcW w:w="10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起重机械安全规程 第1部分:总则 (GB/T 6067.1-2010)</w:t>
            </w:r>
          </w:p>
        </w:tc>
        <w:tc>
          <w:tcPr>
            <w:tcW w:w="12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en-US" w:bidi="en-US"/>
              </w:rPr>
            </w:pPr>
            <w:r>
              <w:rPr>
                <w:rFonts w:ascii="Times New Roman" w:hAnsi="Times New Roman" w:cs="Times New Roman"/>
                <w:color w:val="auto"/>
                <w:sz w:val="18"/>
                <w:szCs w:val="18"/>
                <w:lang w:val="en-US" w:eastAsia="en-US" w:bidi="en-US"/>
              </w:rPr>
              <w:t>第14章</w:t>
            </w:r>
          </w:p>
        </w:tc>
        <w:tc>
          <w:tcPr>
            <w:tcW w:w="8388"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54" w:hRule="exact"/>
          <w:jc w:val="center"/>
        </w:trPr>
        <w:tc>
          <w:tcPr>
            <w:tcW w:w="1051"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436" w:name="_Hlk53691287"/>
            <w:r>
              <w:rPr>
                <w:rFonts w:ascii="Times New Roman" w:hAnsi="Times New Roman" w:cs="Times New Roman"/>
                <w:color w:val="auto"/>
                <w:sz w:val="18"/>
                <w:szCs w:val="18"/>
              </w:rPr>
              <w:t>安装改造维修程序</w:t>
            </w:r>
            <w:bookmarkEnd w:id="436"/>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起重机械安全技术监察规程一桥式起重机(TSG Q0002-2008)</w:t>
            </w:r>
          </w:p>
        </w:tc>
        <w:tc>
          <w:tcPr>
            <w:tcW w:w="12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en-US" w:bidi="en-US"/>
              </w:rPr>
            </w:pPr>
            <w:r>
              <w:rPr>
                <w:rFonts w:ascii="Times New Roman" w:hAnsi="Times New Roman" w:cs="Times New Roman"/>
                <w:color w:val="auto"/>
                <w:sz w:val="18"/>
                <w:szCs w:val="18"/>
                <w:lang w:val="en-US" w:eastAsia="en-US" w:bidi="en-US"/>
              </w:rPr>
              <w:t>第15条</w:t>
            </w:r>
          </w:p>
        </w:tc>
        <w:tc>
          <w:tcPr>
            <w:tcW w:w="8388"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起重机的基础和轨道必须达到规定的要求，由使用单位组织验收，并且提供验收合格证明。施工单位在施工前应当对有关质量和尺寸进行检查，进行记录。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96" w:hRule="exact"/>
          <w:jc w:val="center"/>
        </w:trPr>
        <w:tc>
          <w:tcPr>
            <w:tcW w:w="10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特种设备使用管理规则(TSG 08-2017)</w:t>
            </w:r>
          </w:p>
        </w:tc>
        <w:tc>
          <w:tcPr>
            <w:tcW w:w="12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en-US" w:bidi="en-US"/>
              </w:rPr>
            </w:pPr>
            <w:r>
              <w:rPr>
                <w:rFonts w:ascii="Times New Roman" w:hAnsi="Times New Roman" w:cs="Times New Roman"/>
                <w:color w:val="auto"/>
                <w:sz w:val="18"/>
                <w:szCs w:val="18"/>
                <w:lang w:val="en-US" w:eastAsia="en-US" w:bidi="en-US"/>
              </w:rPr>
              <w:t>第</w:t>
            </w:r>
            <w:r>
              <w:rPr>
                <w:rFonts w:ascii="Times New Roman" w:hAnsi="Times New Roman" w:cs="Times New Roman"/>
                <w:color w:val="auto"/>
                <w:sz w:val="18"/>
                <w:szCs w:val="18"/>
                <w:lang w:val="en-US" w:eastAsia="zh-CN" w:bidi="en-US"/>
              </w:rPr>
              <w:t>2.13</w:t>
            </w:r>
            <w:r>
              <w:rPr>
                <w:rFonts w:ascii="Times New Roman" w:hAnsi="Times New Roman" w:cs="Times New Roman"/>
                <w:color w:val="auto"/>
                <w:sz w:val="18"/>
                <w:szCs w:val="18"/>
                <w:lang w:val="en-US" w:eastAsia="en-US" w:bidi="en-US"/>
              </w:rPr>
              <w:t>条</w:t>
            </w:r>
          </w:p>
        </w:tc>
        <w:tc>
          <w:tcPr>
            <w:tcW w:w="8388" w:type="dxa"/>
            <w:shd w:val="clear" w:color="auto" w:fill="FFFFFF"/>
            <w:noWrap/>
            <w:vAlign w:val="center"/>
          </w:tcPr>
          <w:p>
            <w:pPr>
              <w:rPr>
                <w:rFonts w:ascii="Times New Roman" w:hAnsi="Times New Roman" w:eastAsia="PMingLiU" w:cs="Times New Roman"/>
                <w:color w:val="auto"/>
                <w:sz w:val="18"/>
                <w:szCs w:val="18"/>
                <w:lang w:val="zh-TW" w:eastAsia="zh-TW" w:bidi="zh-TW"/>
              </w:rPr>
            </w:pPr>
            <w:r>
              <w:rPr>
                <w:rFonts w:ascii="Times New Roman" w:hAnsi="Times New Roman" w:eastAsia="宋体" w:cs="Times New Roman"/>
                <w:color w:val="auto"/>
                <w:sz w:val="18"/>
                <w:szCs w:val="18"/>
                <w:lang w:val="zh-TW" w:eastAsia="zh-TW" w:bidi="zh-TW"/>
              </w:rPr>
              <w:t>特种设备移装后，使用单位应当办理使用登记变更。整体移装的，使用单位应当进行自行检查；拆卸后移装的，使用单位应当选择取得相应许可的单位进行安装。按照有关安全技术规范要求，拆卸后移装需要进行检验的，应当</w:t>
            </w:r>
            <w:r>
              <w:rPr>
                <w:rFonts w:ascii="Times New Roman" w:hAnsi="Times New Roman" w:eastAsia="宋体" w:cs="Times New Roman"/>
                <w:color w:val="auto"/>
                <w:sz w:val="18"/>
                <w:szCs w:val="18"/>
                <w:lang w:val="zh-TW" w:bidi="zh-TW"/>
              </w:rPr>
              <w:t>向</w:t>
            </w:r>
            <w:r>
              <w:rPr>
                <w:rFonts w:ascii="Times New Roman" w:hAnsi="Times New Roman" w:eastAsia="宋体" w:cs="Times New Roman"/>
                <w:color w:val="auto"/>
                <w:sz w:val="18"/>
                <w:szCs w:val="18"/>
                <w:lang w:val="zh-TW" w:eastAsia="zh-TW" w:bidi="zh-TW"/>
              </w:rPr>
              <w:t>特种设备检验机构申请检验。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40" w:hRule="exact"/>
          <w:jc w:val="center"/>
        </w:trPr>
        <w:tc>
          <w:tcPr>
            <w:tcW w:w="10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特种设备使用管理规则(TSG 08-2017)</w:t>
            </w:r>
          </w:p>
        </w:tc>
        <w:tc>
          <w:tcPr>
            <w:tcW w:w="12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en-US" w:bidi="en-US"/>
              </w:rPr>
            </w:pPr>
            <w:r>
              <w:rPr>
                <w:rFonts w:ascii="Times New Roman" w:hAnsi="Times New Roman" w:cs="Times New Roman"/>
                <w:color w:val="auto"/>
                <w:sz w:val="18"/>
                <w:szCs w:val="18"/>
                <w:lang w:val="en-US" w:eastAsia="en-US" w:bidi="en-US"/>
              </w:rPr>
              <w:t>第2.16 条</w:t>
            </w:r>
          </w:p>
        </w:tc>
        <w:tc>
          <w:tcPr>
            <w:tcW w:w="8388" w:type="dxa"/>
            <w:vMerge w:val="restart"/>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使用单位负责组织实施塔式起重机、施工升降机在使用过程中的顶升行为，并且对其安全性能负责。使用单位应当制定其作业的操作规程，保证作业安全和使用安全性能。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0" w:hRule="exact"/>
          <w:jc w:val="center"/>
        </w:trPr>
        <w:tc>
          <w:tcPr>
            <w:tcW w:w="10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起重机械安装改造重大修理监督检验规则(TSG Q7016-2016)</w:t>
            </w:r>
          </w:p>
        </w:tc>
        <w:tc>
          <w:tcPr>
            <w:tcW w:w="12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en-US" w:bidi="en-US"/>
              </w:rPr>
            </w:pPr>
            <w:r>
              <w:rPr>
                <w:rFonts w:ascii="Times New Roman" w:hAnsi="Times New Roman" w:cs="Times New Roman"/>
                <w:color w:val="auto"/>
                <w:sz w:val="18"/>
                <w:szCs w:val="18"/>
                <w:lang w:val="en-US" w:eastAsia="en-US" w:bidi="en-US"/>
              </w:rPr>
              <w:t>第4条</w:t>
            </w:r>
          </w:p>
        </w:tc>
        <w:tc>
          <w:tcPr>
            <w:tcW w:w="8388"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68" w:hRule="exact"/>
          <w:jc w:val="center"/>
        </w:trPr>
        <w:tc>
          <w:tcPr>
            <w:tcW w:w="1051"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检验和登记程序</w:t>
            </w: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起重机械定期检验规则</w:t>
            </w:r>
            <w:r>
              <w:rPr>
                <w:rFonts w:ascii="Times New Roman" w:hAnsi="Times New Roman" w:cs="Times New Roman"/>
                <w:color w:val="auto"/>
                <w:sz w:val="18"/>
                <w:szCs w:val="18"/>
                <w:lang w:val="en-US" w:eastAsia="zh-CN" w:bidi="en-US"/>
              </w:rPr>
              <w:t>(TSG Q7015-</w:t>
            </w:r>
            <w:r>
              <w:rPr>
                <w:rFonts w:ascii="Times New Roman" w:hAnsi="Times New Roman" w:cs="Times New Roman"/>
                <w:color w:val="auto"/>
                <w:sz w:val="18"/>
                <w:szCs w:val="18"/>
              </w:rPr>
              <w:t>2016)</w:t>
            </w:r>
          </w:p>
        </w:tc>
        <w:tc>
          <w:tcPr>
            <w:tcW w:w="12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第7条</w:t>
            </w:r>
          </w:p>
        </w:tc>
        <w:tc>
          <w:tcPr>
            <w:tcW w:w="8388"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实施首次检验的起重机械，其产权单位应当在使用前向产权所在地的检验机构申请首次检验。实施定期检验的起重机械，其使用单位应当在起重机械检验合格有效期届满前1个月向检验机构申请定期检验。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133" w:hRule="exact"/>
          <w:jc w:val="center"/>
        </w:trPr>
        <w:tc>
          <w:tcPr>
            <w:tcW w:w="10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特种设备使用管理规则(TSG 08-2017)</w:t>
            </w:r>
          </w:p>
        </w:tc>
        <w:tc>
          <w:tcPr>
            <w:tcW w:w="12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第</w:t>
            </w:r>
            <w:r>
              <w:rPr>
                <w:rFonts w:ascii="Times New Roman" w:hAnsi="Times New Roman" w:eastAsia="PMingLiU" w:cs="Times New Roman"/>
                <w:color w:val="auto"/>
                <w:sz w:val="18"/>
                <w:szCs w:val="18"/>
              </w:rPr>
              <w:t>3.1</w:t>
            </w:r>
            <w:r>
              <w:rPr>
                <w:rFonts w:ascii="Times New Roman" w:hAnsi="Times New Roman" w:cs="Times New Roman"/>
                <w:color w:val="auto"/>
                <w:sz w:val="18"/>
                <w:szCs w:val="18"/>
              </w:rPr>
              <w:t>条</w:t>
            </w:r>
          </w:p>
        </w:tc>
        <w:tc>
          <w:tcPr>
            <w:tcW w:w="8388"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特种设备在投入使用前或者投入使用后30日内，使用单位应当向特种设备所在地的直辖市或者设区的市的特种设备安全监管部门申请办理使用登记。办理使用登记的直辖市或者设区的市的特种设备安全监管部门，可以委托下一级特种设备安全监管部门(以下简称登记机关)办理使用登记；对于整机出厂的特种设备，一般应当在投入使用前办理使用登记</w:t>
            </w:r>
            <w:r>
              <w:rPr>
                <w:rFonts w:ascii="Times New Roman" w:hAnsi="Times New Roman" w:cs="Times New Roman"/>
                <w:color w:val="auto"/>
                <w:sz w:val="18"/>
                <w:szCs w:val="18"/>
                <w:lang w:eastAsia="zh-CN"/>
              </w:rPr>
              <w:t>。</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流动作业的特种设备，向产权单位所在地的登记机关申请办理使用登记</w:t>
            </w:r>
            <w:r>
              <w:rPr>
                <w:rFonts w:ascii="Times New Roman" w:hAnsi="Times New Roman" w:cs="Times New Roman"/>
                <w:color w:val="auto"/>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766" w:hRule="exact"/>
          <w:jc w:val="center"/>
        </w:trPr>
        <w:tc>
          <w:tcPr>
            <w:tcW w:w="10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使用单位管理要求</w:t>
            </w:r>
          </w:p>
        </w:tc>
        <w:tc>
          <w:tcPr>
            <w:tcW w:w="593"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593"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安全管理员</w:t>
            </w:r>
          </w:p>
        </w:tc>
        <w:tc>
          <w:tcPr>
            <w:tcW w:w="635"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每年至</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少一次</w:t>
            </w:r>
          </w:p>
        </w:tc>
        <w:tc>
          <w:tcPr>
            <w:tcW w:w="246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特种设备使用管理规则(TSG 08-2017)</w:t>
            </w:r>
          </w:p>
        </w:tc>
        <w:tc>
          <w:tcPr>
            <w:tcW w:w="12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第</w:t>
            </w:r>
            <w:r>
              <w:rPr>
                <w:rFonts w:ascii="Times New Roman" w:hAnsi="Times New Roman" w:eastAsia="PMingLiU" w:cs="Times New Roman"/>
                <w:color w:val="auto"/>
                <w:sz w:val="18"/>
                <w:szCs w:val="18"/>
              </w:rPr>
              <w:t>2.2</w:t>
            </w:r>
            <w:r>
              <w:rPr>
                <w:rFonts w:ascii="Times New Roman" w:hAnsi="Times New Roman" w:cs="Times New Roman"/>
                <w:color w:val="auto"/>
                <w:sz w:val="18"/>
                <w:szCs w:val="18"/>
              </w:rPr>
              <w:t>条</w:t>
            </w:r>
          </w:p>
        </w:tc>
        <w:tc>
          <w:tcPr>
            <w:tcW w:w="8388"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特种设备使用单位主要义务如下:</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(1)建立并且有效实施特种设备安全管理制度和高耗能特种设备节能管理制度，以及操作规程；</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(2)采购、使用取得许可生产(含设计、制造、安装、改造、修理，下同)，并且经检验合格的特种设备，不得采购超过设计使用年限的特种设备，禁止使用国家明令淘汰和已经报废的特种设备；</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(3)设置特种设备安全管理机构，配备相应的安全管理人员和作业人员，建立人员管理台帐，开展安全与节能培训教育，保存人员培训记录；</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(4)办理使用登记，领取《特种设备使用登记证》，设备注销时交回使用登记证；</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(5)建立特种设备台帐及技术档案；</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(6)对特种设备作业人员作业情况进行检查，及时纠正违章作业行为；</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(7)对在用特种设备进行经常性维护保养和</w:t>
            </w:r>
            <w:r>
              <w:rPr>
                <w:rFonts w:ascii="Times New Roman" w:hAnsi="Times New Roman" w:cs="Times New Roman"/>
                <w:color w:val="auto"/>
                <w:sz w:val="18"/>
                <w:szCs w:val="18"/>
                <w:lang w:eastAsia="zh-CN"/>
              </w:rPr>
              <w:t>定期</w:t>
            </w:r>
            <w:r>
              <w:rPr>
                <w:rFonts w:ascii="Times New Roman" w:hAnsi="Times New Roman" w:cs="Times New Roman"/>
                <w:color w:val="auto"/>
                <w:sz w:val="18"/>
                <w:szCs w:val="18"/>
              </w:rPr>
              <w:t>自行检查，</w:t>
            </w:r>
            <w:r>
              <w:rPr>
                <w:rFonts w:ascii="Times New Roman" w:hAnsi="Times New Roman" w:cs="Times New Roman"/>
                <w:color w:val="auto"/>
                <w:sz w:val="18"/>
                <w:szCs w:val="18"/>
                <w:lang w:eastAsia="zh-CN"/>
              </w:rPr>
              <w:t>及时</w:t>
            </w:r>
            <w:r>
              <w:rPr>
                <w:rFonts w:ascii="Times New Roman" w:hAnsi="Times New Roman" w:cs="Times New Roman"/>
                <w:color w:val="auto"/>
                <w:sz w:val="18"/>
                <w:szCs w:val="18"/>
              </w:rPr>
              <w:t>排查和消除事故隐患，对在用特种设备的安全附件、安全保护装置及其附属仪器仪表进行定期校验(检定、校准，下同)、检修，即使提出定期检验和能效测试申请，接受定期检验和能效测试，并且做好相关配合工作；</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(8)制定特种设备事故应急专项预案，定期进行应急演练；发生事故</w:t>
            </w:r>
            <w:r>
              <w:rPr>
                <w:rFonts w:ascii="Times New Roman" w:hAnsi="Times New Roman" w:cs="Times New Roman"/>
                <w:color w:val="auto"/>
                <w:sz w:val="18"/>
                <w:szCs w:val="18"/>
                <w:lang w:eastAsia="zh-CN"/>
              </w:rPr>
              <w:t>及时</w:t>
            </w:r>
            <w:r>
              <w:rPr>
                <w:rFonts w:ascii="Times New Roman" w:hAnsi="Times New Roman" w:cs="Times New Roman"/>
                <w:color w:val="auto"/>
                <w:sz w:val="18"/>
                <w:szCs w:val="18"/>
              </w:rPr>
              <w:t>上报，配合事故调查处理等；</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(9)保证特种设备安全、节能必要的投入；</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(10)法律、法规规定的其他义务。</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使用单位应当接受特种设备安全监察部门依法实施的监督检查。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06" w:hRule="exact"/>
          <w:jc w:val="center"/>
        </w:trPr>
        <w:tc>
          <w:tcPr>
            <w:tcW w:w="105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bookmarkStart w:id="437" w:name="_Hlk53691348"/>
            <w:r>
              <w:rPr>
                <w:rFonts w:ascii="Times New Roman" w:hAnsi="Times New Roman" w:cs="Times New Roman"/>
                <w:color w:val="auto"/>
                <w:sz w:val="18"/>
                <w:szCs w:val="18"/>
              </w:rPr>
              <w:t>租用管理</w:t>
            </w:r>
            <w:bookmarkEnd w:id="437"/>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ign w:val="center"/>
          </w:tcPr>
          <w:p>
            <w:pPr>
              <w:snapToGrid w:val="0"/>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起重机械安全技术监 察规程一桥式起重</w:t>
            </w:r>
            <w:r>
              <w:rPr>
                <w:rFonts w:ascii="Times New Roman" w:hAnsi="Times New Roman" w:eastAsia="宋体" w:cs="Times New Roman"/>
                <w:color w:val="auto"/>
                <w:sz w:val="18"/>
                <w:szCs w:val="18"/>
                <w:lang w:bidi="en-US"/>
              </w:rPr>
              <w:t>机(TSG Q0002-2008)</w:t>
            </w:r>
          </w:p>
        </w:tc>
        <w:tc>
          <w:tcPr>
            <w:tcW w:w="12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第104 条</w:t>
            </w:r>
          </w:p>
        </w:tc>
        <w:tc>
          <w:tcPr>
            <w:tcW w:w="8388" w:type="dxa"/>
            <w:shd w:val="clear" w:color="auto" w:fill="FFFFFF"/>
            <w:noWrap/>
            <w:vAlign w:val="center"/>
          </w:tcPr>
          <w:p>
            <w:pPr>
              <w:snapToGrid w:val="0"/>
              <w:rPr>
                <w:rFonts w:ascii="Times New Roman" w:hAnsi="Times New Roman" w:eastAsia="宋体" w:cs="Times New Roman"/>
                <w:color w:val="auto"/>
                <w:sz w:val="18"/>
                <w:szCs w:val="18"/>
              </w:rPr>
            </w:pPr>
            <w:r>
              <w:rPr>
                <w:rFonts w:ascii="Times New Roman" w:hAnsi="Times New Roman" w:eastAsia="宋体" w:cs="Times New Roman"/>
                <w:color w:val="auto"/>
                <w:sz w:val="18"/>
                <w:szCs w:val="18"/>
              </w:rPr>
              <w:t>起重机承租使用单位应当使用符合本规程要求的起重机，并且按照本章的要求，在承租使用期间对起重机械进行日常维护保养和自行检查，对承租起重机的使用安全负责。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55" w:hRule="exact"/>
          <w:jc w:val="center"/>
        </w:trPr>
        <w:tc>
          <w:tcPr>
            <w:tcW w:w="1051"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日常检查</w:t>
            </w: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593"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操作</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人员</w:t>
            </w:r>
          </w:p>
        </w:tc>
        <w:tc>
          <w:tcPr>
            <w:tcW w:w="635"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每班</w:t>
            </w:r>
          </w:p>
        </w:tc>
        <w:tc>
          <w:tcPr>
            <w:tcW w:w="246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起重机械安全技术监察规程一桥式起重机 </w:t>
            </w:r>
            <w:r>
              <w:rPr>
                <w:rFonts w:ascii="Times New Roman" w:hAnsi="Times New Roman" w:cs="Times New Roman"/>
                <w:color w:val="auto"/>
                <w:sz w:val="18"/>
                <w:szCs w:val="18"/>
                <w:lang w:val="en-US" w:eastAsia="zh-CN" w:bidi="en-US"/>
              </w:rPr>
              <w:t>(TSG Q0002-</w:t>
            </w:r>
            <w:r>
              <w:rPr>
                <w:rFonts w:ascii="Times New Roman" w:hAnsi="Times New Roman" w:cs="Times New Roman"/>
                <w:color w:val="auto"/>
                <w:sz w:val="18"/>
                <w:szCs w:val="18"/>
              </w:rPr>
              <w:t>2008)</w:t>
            </w:r>
          </w:p>
        </w:tc>
        <w:tc>
          <w:tcPr>
            <w:tcW w:w="12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第94条</w:t>
            </w:r>
          </w:p>
        </w:tc>
        <w:tc>
          <w:tcPr>
            <w:tcW w:w="8388" w:type="dxa"/>
            <w:vMerge w:val="restart"/>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起重机每班使用前，应当对下列内容进行检查：</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作业环境</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安全防护装置</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起重吊具、钢丝绳和起重用链条</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制动器；</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消防器材</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供电电源；控制装置</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监控系统;标记和警示标志；气动系统、液压系统、冷却系统、燃油系统的渗漏；照明装置。</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发现异常时，应当在使用前排除，并且做好相应记录。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64" w:hRule="exact"/>
          <w:jc w:val="center"/>
        </w:trPr>
        <w:tc>
          <w:tcPr>
            <w:tcW w:w="105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 xml:space="preserve">起重机械检查与维护规程第1部分:总则 </w:t>
            </w:r>
            <w:r>
              <w:rPr>
                <w:rFonts w:ascii="Times New Roman" w:hAnsi="Times New Roman" w:cs="Times New Roman"/>
                <w:color w:val="auto"/>
                <w:sz w:val="18"/>
                <w:szCs w:val="18"/>
                <w:lang w:val="en-US" w:eastAsia="zh-CN" w:bidi="en-US"/>
              </w:rPr>
              <w:t>(GB/T 31052.1-2014)</w:t>
            </w:r>
          </w:p>
        </w:tc>
        <w:tc>
          <w:tcPr>
            <w:tcW w:w="12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val="en-US" w:eastAsia="en-US" w:bidi="en-US"/>
              </w:rPr>
              <w:t>5.1</w:t>
            </w:r>
          </w:p>
        </w:tc>
        <w:tc>
          <w:tcPr>
            <w:tcW w:w="8388" w:type="dxa"/>
            <w:vMerge w:val="continue"/>
            <w:shd w:val="clear" w:color="auto" w:fill="FFFFFF"/>
            <w:noWrap/>
            <w:vAlign w:val="center"/>
          </w:tcPr>
          <w:p>
            <w:pPr>
              <w:snapToGrid w:val="0"/>
              <w:rPr>
                <w:rFonts w:ascii="Times New Roman" w:hAnsi="Times New Roman" w:eastAsia="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12" w:hRule="exact"/>
          <w:jc w:val="center"/>
        </w:trPr>
        <w:tc>
          <w:tcPr>
            <w:tcW w:w="1051" w:type="dxa"/>
            <w:vMerge w:val="restart"/>
            <w:shd w:val="clear" w:color="auto" w:fill="FFFFFF"/>
            <w:noWrap/>
            <w:vAlign w:val="center"/>
          </w:tcPr>
          <w:p>
            <w:pPr>
              <w:pStyle w:val="10"/>
              <w:snapToGrid w:val="0"/>
              <w:spacing w:line="240" w:lineRule="auto"/>
              <w:jc w:val="center"/>
              <w:rPr>
                <w:rFonts w:ascii="Times New Roman" w:hAnsi="Times New Roman" w:eastAsia="PMingLiU" w:cs="Times New Roman"/>
                <w:color w:val="auto"/>
                <w:sz w:val="18"/>
                <w:szCs w:val="18"/>
              </w:rPr>
            </w:pPr>
            <w:r>
              <w:rPr>
                <w:rFonts w:ascii="Times New Roman" w:hAnsi="Times New Roman" w:cs="Times New Roman"/>
                <w:color w:val="auto"/>
                <w:sz w:val="18"/>
                <w:szCs w:val="18"/>
              </w:rPr>
              <w:t>定期自行检查</w:t>
            </w:r>
          </w:p>
        </w:tc>
        <w:tc>
          <w:tcPr>
            <w:tcW w:w="593"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593"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指派</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专人</w:t>
            </w:r>
          </w:p>
        </w:tc>
        <w:tc>
          <w:tcPr>
            <w:tcW w:w="635"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周检、月检、 季检、半年检和年检。</w:t>
            </w:r>
          </w:p>
        </w:tc>
        <w:tc>
          <w:tcPr>
            <w:tcW w:w="2464"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起重机械安全技术监察规程一桥式起重机</w:t>
            </w:r>
            <w:r>
              <w:rPr>
                <w:rFonts w:ascii="Times New Roman" w:hAnsi="Times New Roman" w:cs="Times New Roman"/>
                <w:color w:val="auto"/>
                <w:sz w:val="18"/>
                <w:szCs w:val="18"/>
                <w:lang w:val="en-US" w:eastAsia="zh-CN" w:bidi="en-US"/>
              </w:rPr>
              <w:t>(TSG Q0002-</w:t>
            </w:r>
            <w:r>
              <w:rPr>
                <w:rFonts w:ascii="Times New Roman" w:hAnsi="Times New Roman" w:cs="Times New Roman"/>
                <w:color w:val="auto"/>
                <w:sz w:val="18"/>
                <w:szCs w:val="18"/>
              </w:rPr>
              <w:t>2008</w:t>
            </w:r>
            <w:r>
              <w:rPr>
                <w:rFonts w:ascii="Times New Roman" w:hAnsi="Times New Roman" w:cs="Times New Roman"/>
                <w:color w:val="auto"/>
                <w:sz w:val="18"/>
                <w:szCs w:val="18"/>
                <w:lang w:eastAsia="zh-CN"/>
              </w:rPr>
              <w:t>)</w:t>
            </w:r>
          </w:p>
        </w:tc>
        <w:tc>
          <w:tcPr>
            <w:tcW w:w="12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第95条</w:t>
            </w:r>
          </w:p>
        </w:tc>
        <w:tc>
          <w:tcPr>
            <w:tcW w:w="8388" w:type="dxa"/>
            <w:vMerge w:val="restart"/>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定期自行检查应包括以下项目：</w:t>
            </w:r>
          </w:p>
          <w:p>
            <w:pPr>
              <w:pStyle w:val="10"/>
              <w:tabs>
                <w:tab w:val="left" w:pos="35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val="en-US" w:eastAsia="zh-CN" w:bidi="en-US"/>
              </w:rPr>
              <w:t>a)</w:t>
            </w:r>
            <w:r>
              <w:rPr>
                <w:rFonts w:ascii="Times New Roman" w:hAnsi="Times New Roman" w:cs="Times New Roman"/>
                <w:color w:val="auto"/>
                <w:sz w:val="18"/>
                <w:szCs w:val="18"/>
                <w:lang w:val="en-US" w:eastAsia="zh-CN" w:bidi="en-US"/>
              </w:rPr>
              <w:tab/>
            </w:r>
            <w:r>
              <w:rPr>
                <w:rFonts w:ascii="Times New Roman" w:hAnsi="Times New Roman" w:cs="Times New Roman"/>
                <w:color w:val="auto"/>
                <w:sz w:val="18"/>
                <w:szCs w:val="18"/>
              </w:rPr>
              <w:t>技术文件和资料：随行文件;检查及维护记录</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设备安装、改造、维修、注册登记等其他档案。</w:t>
            </w:r>
          </w:p>
          <w:p>
            <w:pPr>
              <w:pStyle w:val="10"/>
              <w:tabs>
                <w:tab w:val="left" w:pos="34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val="en-US" w:eastAsia="zh-CN" w:bidi="en-US"/>
              </w:rPr>
              <w:t>b)</w:t>
            </w:r>
            <w:r>
              <w:rPr>
                <w:rFonts w:ascii="Times New Roman" w:hAnsi="Times New Roman" w:cs="Times New Roman"/>
                <w:color w:val="auto"/>
                <w:sz w:val="18"/>
                <w:szCs w:val="18"/>
                <w:lang w:val="en-US" w:eastAsia="zh-CN" w:bidi="en-US"/>
              </w:rPr>
              <w:tab/>
            </w:r>
            <w:r>
              <w:rPr>
                <w:rFonts w:ascii="Times New Roman" w:hAnsi="Times New Roman" w:cs="Times New Roman"/>
                <w:color w:val="auto"/>
                <w:sz w:val="18"/>
                <w:szCs w:val="18"/>
              </w:rPr>
              <w:t>金属结构：金属结构变形、裂纹、腐蚀；焊缝裂纹；紧固件及销轴。</w:t>
            </w:r>
          </w:p>
          <w:p>
            <w:pPr>
              <w:pStyle w:val="10"/>
              <w:tabs>
                <w:tab w:val="left" w:pos="34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val="en-US" w:eastAsia="zh-CN" w:bidi="en-US"/>
              </w:rPr>
              <w:t>c)</w:t>
            </w:r>
            <w:r>
              <w:rPr>
                <w:rFonts w:ascii="Times New Roman" w:hAnsi="Times New Roman" w:cs="Times New Roman"/>
                <w:color w:val="auto"/>
                <w:sz w:val="18"/>
                <w:szCs w:val="18"/>
                <w:lang w:val="en-US" w:eastAsia="zh-CN" w:bidi="en-US"/>
              </w:rPr>
              <w:tab/>
            </w:r>
            <w:r>
              <w:rPr>
                <w:rFonts w:ascii="Times New Roman" w:hAnsi="Times New Roman" w:cs="Times New Roman"/>
                <w:color w:val="auto"/>
                <w:sz w:val="18"/>
                <w:szCs w:val="18"/>
              </w:rPr>
              <w:t>机构：起升机构；运行机构；回转机构；变幅机构；伸缩机构；其他辅助机构(如：移动供电系统、吊具机构、润滑系统、塔机的爬升系统等)。</w:t>
            </w:r>
          </w:p>
          <w:p>
            <w:pPr>
              <w:pStyle w:val="10"/>
              <w:tabs>
                <w:tab w:val="left" w:pos="34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val="en-US" w:eastAsia="zh-CN" w:bidi="en-US"/>
              </w:rPr>
              <w:t>d)</w:t>
            </w:r>
            <w:r>
              <w:rPr>
                <w:rFonts w:ascii="Times New Roman" w:hAnsi="Times New Roman" w:cs="Times New Roman"/>
                <w:color w:val="auto"/>
                <w:sz w:val="18"/>
                <w:szCs w:val="18"/>
                <w:lang w:val="en-US" w:eastAsia="zh-CN" w:bidi="en-US"/>
              </w:rPr>
              <w:tab/>
            </w:r>
            <w:r>
              <w:rPr>
                <w:rFonts w:ascii="Times New Roman" w:hAnsi="Times New Roman" w:cs="Times New Roman"/>
                <w:color w:val="auto"/>
                <w:sz w:val="18"/>
                <w:szCs w:val="18"/>
              </w:rPr>
              <w:t>关键零部件</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起重吊具</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钢丝绳及其附件</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起重用链条</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卷筒；滑轮；制动器；车轮；开式齿轮；联轴器；其他。</w:t>
            </w:r>
          </w:p>
          <w:p>
            <w:pPr>
              <w:pStyle w:val="10"/>
              <w:tabs>
                <w:tab w:val="left" w:pos="34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val="en-US" w:eastAsia="zh-CN" w:bidi="en-US"/>
              </w:rPr>
              <w:t>e)</w:t>
            </w:r>
            <w:r>
              <w:rPr>
                <w:rFonts w:ascii="Times New Roman" w:hAnsi="Times New Roman" w:cs="Times New Roman"/>
                <w:color w:val="auto"/>
                <w:sz w:val="18"/>
                <w:szCs w:val="18"/>
                <w:lang w:val="en-US" w:eastAsia="zh-CN" w:bidi="en-US"/>
              </w:rPr>
              <w:tab/>
            </w:r>
            <w:r>
              <w:rPr>
                <w:rFonts w:ascii="Times New Roman" w:hAnsi="Times New Roman" w:cs="Times New Roman"/>
                <w:color w:val="auto"/>
                <w:sz w:val="18"/>
                <w:szCs w:val="18"/>
              </w:rPr>
              <w:t>控制系统：电控系统(含安全监控管理系统)；液压系统</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气动系统。</w:t>
            </w:r>
          </w:p>
          <w:p>
            <w:pPr>
              <w:pStyle w:val="10"/>
              <w:tabs>
                <w:tab w:val="left" w:pos="350"/>
              </w:tabs>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val="en-US" w:eastAsia="zh-CN" w:bidi="en-US"/>
              </w:rPr>
              <w:t>f)</w:t>
            </w:r>
            <w:r>
              <w:rPr>
                <w:rFonts w:ascii="Times New Roman" w:hAnsi="Times New Roman" w:cs="Times New Roman"/>
                <w:color w:val="auto"/>
                <w:sz w:val="18"/>
                <w:szCs w:val="18"/>
                <w:lang w:val="en-US" w:eastAsia="zh-CN" w:bidi="en-US"/>
              </w:rPr>
              <w:tab/>
            </w:r>
            <w:r>
              <w:rPr>
                <w:rFonts w:ascii="Times New Roman" w:hAnsi="Times New Roman" w:cs="Times New Roman"/>
                <w:color w:val="auto"/>
                <w:sz w:val="18"/>
                <w:szCs w:val="18"/>
              </w:rPr>
              <w:t>安全防护：限制运动行程与指示工作位置的安全防护装置(如：起升高度限制器、限位开关、幅度指示器、防止臂架向后倾翻的装置、回转锁定装置、支腿回缩锁定装置、防碰撞装置、缓冲器及端部止挡、偏斜指示器或限制器、水平仪等)；防超载、超速的安全防护装置(如：起重量限制器、起重力矩限制器、极限力矩限制器、超速保护装置等)；抗风防滑和防倾翻装置［如</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抗风防滑装置(锚定装置、夹轨器等)、防倾翻安全钩等］</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联锁保护</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电气保护；警示装置及标志(如</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声、光报警装置、安全警示标志等)；通道及安全防护设施(如：楼梯、阶梯、平台、走道、栏杆、防护罩、检修吊笼等)；其他安全防护装置(如：风速仪、导电滑触线的安全防护、轨道清扫器、防坠落保护、断绳保护、钢丝绳防脱装置、起升绳偏角限制器、爬升装置防脱装置、汽车长宽高限制装置、阻车装置、人车误入检测装置、自动门防夹装置、防重叠自动检测装置、松绳(链)检测装置或载车板倾斜检测装置、限速器、安全钳、紧急联络装置、运转限制装置、载车板锁定装置等)。</w:t>
            </w:r>
          </w:p>
          <w:p>
            <w:pPr>
              <w:pStyle w:val="10"/>
              <w:tabs>
                <w:tab w:val="left" w:pos="350"/>
              </w:tabs>
              <w:snapToGrid w:val="0"/>
              <w:spacing w:line="240" w:lineRule="auto"/>
              <w:rPr>
                <w:rFonts w:ascii="Times New Roman" w:hAnsi="Times New Roman" w:eastAsia="PMingLiU" w:cs="Times New Roman"/>
                <w:color w:val="auto"/>
                <w:sz w:val="15"/>
                <w:szCs w:val="15"/>
                <w:lang w:eastAsia="zh-CN"/>
              </w:rPr>
            </w:pPr>
            <w:r>
              <w:rPr>
                <w:rFonts w:ascii="Times New Roman" w:hAnsi="Times New Roman" w:cs="Times New Roman"/>
                <w:color w:val="auto"/>
                <w:sz w:val="15"/>
                <w:szCs w:val="15"/>
                <w:lang w:eastAsia="zh-CN"/>
              </w:rPr>
              <w:t>注：</w:t>
            </w:r>
            <w:r>
              <w:rPr>
                <w:rFonts w:ascii="Times New Roman" w:hAnsi="Times New Roman" w:cs="Times New Roman"/>
                <w:color w:val="auto"/>
                <w:sz w:val="15"/>
                <w:szCs w:val="15"/>
              </w:rPr>
              <w:t>使用单位应根据不同的起重机械的情况确定具体的检查周 期、检查项目和检查方 法。年检时应为全项目检查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826" w:hRule="exact"/>
          <w:jc w:val="center"/>
        </w:trPr>
        <w:tc>
          <w:tcPr>
            <w:tcW w:w="1051" w:type="dxa"/>
            <w:vMerge w:val="continue"/>
            <w:shd w:val="clear" w:color="auto" w:fill="FFFFFF"/>
            <w:noWrap/>
            <w:vAlign w:val="center"/>
          </w:tcPr>
          <w:p>
            <w:pPr>
              <w:pStyle w:val="10"/>
              <w:snapToGrid w:val="0"/>
              <w:spacing w:line="240" w:lineRule="auto"/>
              <w:jc w:val="center"/>
              <w:rPr>
                <w:rFonts w:ascii="Times New Roman" w:hAnsi="Times New Roman" w:eastAsia="PMingLiU" w:cs="Times New Roman"/>
                <w:color w:val="auto"/>
                <w:sz w:val="18"/>
                <w:szCs w:val="18"/>
              </w:rPr>
            </w:pP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635"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2464"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起重机械检查与维护规程第1部分:总则</w:t>
            </w:r>
            <w:r>
              <w:rPr>
                <w:rFonts w:ascii="Times New Roman" w:hAnsi="Times New Roman" w:cs="Times New Roman"/>
                <w:color w:val="auto"/>
                <w:sz w:val="18"/>
                <w:szCs w:val="18"/>
                <w:lang w:val="en-US" w:eastAsia="zh-CN" w:bidi="en-US"/>
              </w:rPr>
              <w:t>(GB/T 31052.1-2014)</w:t>
            </w:r>
          </w:p>
        </w:tc>
        <w:tc>
          <w:tcPr>
            <w:tcW w:w="123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val="en-US" w:eastAsia="en-US" w:bidi="en-US"/>
              </w:rPr>
              <w:t>5.2</w:t>
            </w:r>
          </w:p>
        </w:tc>
        <w:tc>
          <w:tcPr>
            <w:tcW w:w="8388" w:type="dxa"/>
            <w:vMerge w:val="continue"/>
            <w:shd w:val="clear" w:color="auto" w:fill="FFFFFF"/>
            <w:noWrap/>
            <w:vAlign w:val="center"/>
          </w:tcPr>
          <w:p>
            <w:pPr>
              <w:snapToGrid w:val="0"/>
              <w:rPr>
                <w:rFonts w:ascii="Times New Roman" w:hAnsi="Times New Roman" w:eastAsia="宋体"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4" w:hRule="exact"/>
          <w:jc w:val="center"/>
        </w:trPr>
        <w:tc>
          <w:tcPr>
            <w:tcW w:w="1051" w:type="dxa"/>
            <w:tcBorders>
              <w:top w:val="single" w:color="auto" w:sz="4" w:space="0"/>
              <w:bottom w:val="single" w:color="auto" w:sz="4"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特殊检查</w:t>
            </w:r>
          </w:p>
        </w:tc>
        <w:tc>
          <w:tcPr>
            <w:tcW w:w="593" w:type="dxa"/>
            <w:vMerge w:val="continue"/>
            <w:tcBorders>
              <w:bottom w:val="single" w:color="auto" w:sz="4"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593" w:type="dxa"/>
            <w:tcBorders>
              <w:top w:val="single" w:color="auto" w:sz="4" w:space="0"/>
              <w:bottom w:val="single" w:color="auto" w:sz="4"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指派</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专人</w:t>
            </w:r>
          </w:p>
        </w:tc>
        <w:tc>
          <w:tcPr>
            <w:tcW w:w="635" w:type="dxa"/>
            <w:tcBorders>
              <w:top w:val="single" w:color="auto" w:sz="4" w:space="0"/>
              <w:bottom w:val="single" w:color="auto" w:sz="4"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根据</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需要</w:t>
            </w:r>
          </w:p>
        </w:tc>
        <w:tc>
          <w:tcPr>
            <w:tcW w:w="2464" w:type="dxa"/>
            <w:tcBorders>
              <w:top w:val="single" w:color="auto" w:sz="4" w:space="0"/>
              <w:bottom w:val="single" w:color="auto" w:sz="4" w:space="0"/>
            </w:tcBorders>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val="en-US" w:eastAsia="zh-CN" w:bidi="en-US"/>
              </w:rPr>
              <w:t>TSG Q0002-</w:t>
            </w:r>
            <w:r>
              <w:rPr>
                <w:rFonts w:ascii="Times New Roman" w:hAnsi="Times New Roman" w:cs="Times New Roman"/>
                <w:color w:val="auto"/>
                <w:sz w:val="18"/>
                <w:szCs w:val="18"/>
              </w:rPr>
              <w:t>2008</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val="en-US" w:eastAsia="en-US" w:bidi="en-US"/>
              </w:rPr>
              <w:t xml:space="preserve"> GB/T 31052.1</w:t>
            </w:r>
            <w:r>
              <w:rPr>
                <w:rFonts w:ascii="Times New Roman" w:hAnsi="Times New Roman" w:cs="Times New Roman"/>
                <w:color w:val="auto"/>
                <w:sz w:val="18"/>
                <w:szCs w:val="18"/>
                <w:lang w:val="en-US" w:eastAsia="zh-CN" w:bidi="en-US"/>
              </w:rPr>
              <w:t>-</w:t>
            </w:r>
            <w:r>
              <w:rPr>
                <w:rFonts w:ascii="Times New Roman" w:hAnsi="Times New Roman" w:cs="Times New Roman"/>
                <w:color w:val="auto"/>
                <w:sz w:val="18"/>
                <w:szCs w:val="18"/>
                <w:lang w:val="en-US" w:eastAsia="en-US" w:bidi="en-US"/>
              </w:rPr>
              <w:t>2014</w:t>
            </w:r>
          </w:p>
        </w:tc>
        <w:tc>
          <w:tcPr>
            <w:tcW w:w="1239" w:type="dxa"/>
            <w:tcBorders>
              <w:top w:val="single" w:color="auto" w:sz="4" w:space="0"/>
              <w:bottom w:val="single" w:color="auto" w:sz="4" w:space="0"/>
            </w:tcBorders>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第103条</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第</w:t>
            </w:r>
            <w:r>
              <w:rPr>
                <w:rFonts w:ascii="Times New Roman" w:hAnsi="Times New Roman" w:cs="Times New Roman"/>
                <w:color w:val="auto"/>
                <w:sz w:val="18"/>
                <w:szCs w:val="18"/>
                <w:lang w:val="en-US" w:eastAsia="en-US" w:bidi="en-US"/>
              </w:rPr>
              <w:t>5.3</w:t>
            </w:r>
            <w:r>
              <w:rPr>
                <w:rFonts w:ascii="Times New Roman" w:hAnsi="Times New Roman" w:cs="Times New Roman"/>
                <w:color w:val="auto"/>
                <w:sz w:val="18"/>
                <w:szCs w:val="18"/>
              </w:rPr>
              <w:t>条</w:t>
            </w:r>
          </w:p>
        </w:tc>
        <w:tc>
          <w:tcPr>
            <w:tcW w:w="8388" w:type="dxa"/>
            <w:tcBorders>
              <w:top w:val="single" w:color="auto" w:sz="4" w:space="0"/>
              <w:bottom w:val="single" w:color="auto" w:sz="4" w:space="0"/>
            </w:tcBorders>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根据需要选择上述相应的内容进行检查。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09" w:hRule="exact"/>
          <w:jc w:val="center"/>
        </w:trPr>
        <w:tc>
          <w:tcPr>
            <w:tcW w:w="1051" w:type="dxa"/>
            <w:tcBorders>
              <w:top w:val="single" w:color="auto" w:sz="4" w:space="0"/>
              <w:bottom w:val="single" w:color="auto" w:sz="4"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定期检验</w:t>
            </w:r>
          </w:p>
        </w:tc>
        <w:tc>
          <w:tcPr>
            <w:tcW w:w="593" w:type="dxa"/>
            <w:tcBorders>
              <w:top w:val="single" w:color="auto" w:sz="4" w:space="0"/>
              <w:bottom w:val="single" w:color="auto" w:sz="4"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检验</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机构</w:t>
            </w:r>
          </w:p>
        </w:tc>
        <w:tc>
          <w:tcPr>
            <w:tcW w:w="593" w:type="dxa"/>
            <w:tcBorders>
              <w:top w:val="single" w:color="auto" w:sz="4" w:space="0"/>
              <w:bottom w:val="single" w:color="auto" w:sz="4"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持证</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检验</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人员</w:t>
            </w:r>
          </w:p>
        </w:tc>
        <w:tc>
          <w:tcPr>
            <w:tcW w:w="635" w:type="dxa"/>
            <w:tcBorders>
              <w:top w:val="single" w:color="auto" w:sz="4" w:space="0"/>
              <w:bottom w:val="single" w:color="auto" w:sz="4"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按照规范确定</w:t>
            </w:r>
          </w:p>
        </w:tc>
        <w:tc>
          <w:tcPr>
            <w:tcW w:w="2464" w:type="dxa"/>
            <w:tcBorders>
              <w:top w:val="single" w:color="auto" w:sz="4" w:space="0"/>
              <w:bottom w:val="single" w:color="auto" w:sz="4" w:space="0"/>
            </w:tcBorders>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起重机械定期检验规则</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lang w:val="en-US" w:eastAsia="zh-CN" w:bidi="en-US"/>
              </w:rPr>
              <w:t>(TSG Q7015-</w:t>
            </w:r>
            <w:r>
              <w:rPr>
                <w:rFonts w:ascii="Times New Roman" w:hAnsi="Times New Roman" w:cs="Times New Roman"/>
                <w:color w:val="auto"/>
                <w:sz w:val="18"/>
                <w:szCs w:val="18"/>
              </w:rPr>
              <w:t>2016)</w:t>
            </w:r>
          </w:p>
        </w:tc>
        <w:tc>
          <w:tcPr>
            <w:tcW w:w="1239" w:type="dxa"/>
            <w:tcBorders>
              <w:top w:val="single" w:color="auto" w:sz="4" w:space="0"/>
              <w:bottom w:val="single" w:color="auto" w:sz="4"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w:t>
            </w:r>
          </w:p>
        </w:tc>
        <w:tc>
          <w:tcPr>
            <w:tcW w:w="8388" w:type="dxa"/>
            <w:tcBorders>
              <w:top w:val="single" w:color="auto" w:sz="4" w:space="0"/>
              <w:bottom w:val="single" w:color="auto" w:sz="4" w:space="0"/>
            </w:tcBorders>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由检验机构按照</w:t>
            </w:r>
            <w:r>
              <w:rPr>
                <w:rFonts w:ascii="Times New Roman" w:hAnsi="Times New Roman" w:cs="Times New Roman"/>
                <w:color w:val="auto"/>
                <w:sz w:val="18"/>
                <w:szCs w:val="18"/>
                <w:lang w:val="en-US" w:eastAsia="zh-CN" w:bidi="en-US"/>
              </w:rPr>
              <w:t>TSG Q7015-</w:t>
            </w:r>
            <w:r>
              <w:rPr>
                <w:rFonts w:ascii="Times New Roman" w:hAnsi="Times New Roman" w:cs="Times New Roman"/>
                <w:color w:val="auto"/>
                <w:sz w:val="18"/>
                <w:szCs w:val="18"/>
              </w:rPr>
              <w:t>2016要求确定。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04" w:hRule="exact"/>
          <w:jc w:val="center"/>
        </w:trPr>
        <w:tc>
          <w:tcPr>
            <w:tcW w:w="1051" w:type="dxa"/>
            <w:tcBorders>
              <w:top w:val="single" w:color="auto" w:sz="4" w:space="0"/>
              <w:bottom w:val="single" w:color="auto" w:sz="12"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日常巡查</w:t>
            </w:r>
          </w:p>
        </w:tc>
        <w:tc>
          <w:tcPr>
            <w:tcW w:w="593" w:type="dxa"/>
            <w:tcBorders>
              <w:top w:val="single" w:color="auto" w:sz="4" w:space="0"/>
              <w:bottom w:val="single" w:color="auto" w:sz="12"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593" w:type="dxa"/>
            <w:tcBorders>
              <w:top w:val="single" w:color="auto" w:sz="4" w:space="0"/>
              <w:bottom w:val="single" w:color="auto" w:sz="12"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安全管理员</w:t>
            </w:r>
          </w:p>
        </w:tc>
        <w:tc>
          <w:tcPr>
            <w:tcW w:w="635" w:type="dxa"/>
            <w:tcBorders>
              <w:top w:val="single" w:color="auto" w:sz="4" w:space="0"/>
              <w:bottom w:val="single" w:color="auto" w:sz="12"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每日一次</w:t>
            </w:r>
          </w:p>
        </w:tc>
        <w:tc>
          <w:tcPr>
            <w:tcW w:w="2464" w:type="dxa"/>
            <w:tcBorders>
              <w:top w:val="single" w:color="auto" w:sz="4" w:space="0"/>
              <w:bottom w:val="single" w:color="auto" w:sz="12"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bidi="en-US"/>
              </w:rPr>
            </w:pPr>
            <w:r>
              <w:rPr>
                <w:rFonts w:ascii="Times New Roman" w:hAnsi="Times New Roman" w:eastAsia="Times New Roman" w:cs="Times New Roman"/>
                <w:color w:val="auto"/>
                <w:sz w:val="18"/>
                <w:szCs w:val="18"/>
                <w:lang w:val="en-US" w:eastAsia="zh-CN" w:bidi="en-US"/>
              </w:rPr>
              <w:t>——</w:t>
            </w:r>
          </w:p>
        </w:tc>
        <w:tc>
          <w:tcPr>
            <w:tcW w:w="1239" w:type="dxa"/>
            <w:tcBorders>
              <w:top w:val="single" w:color="auto" w:sz="4" w:space="0"/>
              <w:bottom w:val="single" w:color="auto" w:sz="12" w:space="0"/>
            </w:tcBorders>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eastAsia="Times New Roman" w:cs="Times New Roman"/>
                <w:color w:val="auto"/>
                <w:sz w:val="18"/>
                <w:szCs w:val="18"/>
                <w:lang w:val="en-US" w:eastAsia="zh-CN" w:bidi="en-US"/>
              </w:rPr>
              <w:t>——</w:t>
            </w:r>
          </w:p>
        </w:tc>
        <w:tc>
          <w:tcPr>
            <w:tcW w:w="8388" w:type="dxa"/>
            <w:tcBorders>
              <w:top w:val="single" w:color="auto" w:sz="4" w:space="0"/>
              <w:bottom w:val="single" w:color="auto" w:sz="12" w:space="0"/>
            </w:tcBorders>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见附表1</w:t>
            </w:r>
          </w:p>
        </w:tc>
      </w:tr>
    </w:tbl>
    <w:p>
      <w:pPr>
        <w:snapToGrid w:val="0"/>
        <w:rPr>
          <w:rFonts w:ascii="Times New Roman" w:hAnsi="Times New Roman" w:cs="Times New Roman"/>
          <w:color w:val="auto"/>
          <w:sz w:val="18"/>
          <w:szCs w:val="18"/>
        </w:rPr>
        <w:sectPr>
          <w:headerReference r:id="rId30" w:type="first"/>
          <w:headerReference r:id="rId28" w:type="default"/>
          <w:headerReference r:id="rId29" w:type="even"/>
          <w:footerReference r:id="rId31" w:type="even"/>
          <w:pgSz w:w="16840" w:h="11900" w:orient="landscape"/>
          <w:pgMar w:top="1134" w:right="1134" w:bottom="1134" w:left="1134" w:header="851" w:footer="851" w:gutter="0"/>
          <w:pgNumType w:fmt="numberInDash"/>
          <w:cols w:space="720" w:num="1"/>
          <w:docGrid w:linePitch="360" w:charSpace="0"/>
        </w:sectPr>
      </w:pPr>
    </w:p>
    <w:p>
      <w:pPr>
        <w:pStyle w:val="10"/>
        <w:snapToGrid w:val="0"/>
        <w:spacing w:line="240" w:lineRule="auto"/>
        <w:jc w:val="center"/>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附表1  起重机械日常巡查内容</w:t>
      </w:r>
    </w:p>
    <w:p>
      <w:pPr>
        <w:pStyle w:val="13"/>
        <w:rPr>
          <w:rFonts w:ascii="Times New Roman"/>
          <w:color w:val="auto"/>
        </w:rPr>
      </w:pPr>
    </w:p>
    <w:tbl>
      <w:tblPr>
        <w:tblStyle w:val="8"/>
        <w:tblW w:w="937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582"/>
        <w:gridCol w:w="1560"/>
        <w:gridCol w:w="7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序号</w:t>
            </w:r>
          </w:p>
        </w:tc>
        <w:tc>
          <w:tcPr>
            <w:tcW w:w="1560" w:type="dxa"/>
            <w:shd w:val="clear" w:color="auto" w:fill="FFFFFF"/>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巡查项目</w:t>
            </w:r>
          </w:p>
        </w:tc>
        <w:tc>
          <w:tcPr>
            <w:tcW w:w="7229" w:type="dxa"/>
            <w:shd w:val="clear" w:color="auto" w:fill="FFFFFF"/>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巡查内容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003"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w:t>
            </w:r>
          </w:p>
        </w:tc>
        <w:tc>
          <w:tcPr>
            <w:tcW w:w="1560" w:type="dxa"/>
            <w:vMerge w:val="restart"/>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作业环境条件</w:t>
            </w: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起重机是否处于整洁环境，并且远离油罐、废料、工具或物料，已有安全储藏措施的情况除外。</w:t>
            </w:r>
          </w:p>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检查起重机械的出入口，要求无障碍以及相应的灭火设施应完备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2</w:t>
            </w:r>
          </w:p>
        </w:tc>
        <w:tc>
          <w:tcPr>
            <w:tcW w:w="1560" w:type="dxa"/>
            <w:vMerge w:val="continue"/>
            <w:shd w:val="clear" w:color="auto" w:fill="FFFFFF"/>
            <w:noWrap/>
            <w:vAlign w:val="center"/>
          </w:tcPr>
          <w:p>
            <w:pPr>
              <w:pStyle w:val="4"/>
              <w:adjustRightInd w:val="0"/>
              <w:snapToGrid w:val="0"/>
              <w:jc w:val="center"/>
              <w:rPr>
                <w:rFonts w:ascii="Times New Roman" w:hAnsi="Times New Roman" w:cs="Times New Roman"/>
                <w:color w:val="auto"/>
                <w:kern w:val="0"/>
                <w:sz w:val="18"/>
              </w:rPr>
            </w:pP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在作业区域内无影响安全作业的障碍物、高压线，运行轨道上无障碍物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3</w:t>
            </w:r>
          </w:p>
        </w:tc>
        <w:tc>
          <w:tcPr>
            <w:tcW w:w="1560" w:type="dxa"/>
            <w:vMerge w:val="restart"/>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外观检查</w:t>
            </w: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检查电气设备，不允许沾染润滑油、润滑脂、水或灰尘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4</w:t>
            </w:r>
          </w:p>
        </w:tc>
        <w:tc>
          <w:tcPr>
            <w:tcW w:w="1560" w:type="dxa"/>
            <w:vMerge w:val="continue"/>
            <w:shd w:val="clear" w:color="auto" w:fill="FFFFFF"/>
            <w:noWrap/>
            <w:vAlign w:val="center"/>
          </w:tcPr>
          <w:p>
            <w:pPr>
              <w:pStyle w:val="4"/>
              <w:adjustRightInd w:val="0"/>
              <w:snapToGrid w:val="0"/>
              <w:jc w:val="center"/>
              <w:rPr>
                <w:rFonts w:ascii="Times New Roman" w:hAnsi="Times New Roman" w:cs="Times New Roman"/>
                <w:color w:val="auto"/>
                <w:kern w:val="0"/>
                <w:sz w:val="18"/>
              </w:rPr>
            </w:pP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外观检查有关的台面和(或)部件，无润滑油和冷却剂等液体的洒落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5</w:t>
            </w:r>
          </w:p>
        </w:tc>
        <w:tc>
          <w:tcPr>
            <w:tcW w:w="1560" w:type="dxa"/>
            <w:vMerge w:val="continue"/>
            <w:shd w:val="clear" w:color="auto" w:fill="FFFFFF"/>
            <w:noWrap/>
            <w:vAlign w:val="center"/>
          </w:tcPr>
          <w:p>
            <w:pPr>
              <w:pStyle w:val="4"/>
              <w:adjustRightInd w:val="0"/>
              <w:snapToGrid w:val="0"/>
              <w:jc w:val="center"/>
              <w:rPr>
                <w:rFonts w:ascii="Times New Roman" w:hAnsi="Times New Roman" w:cs="Times New Roman"/>
                <w:color w:val="auto"/>
                <w:kern w:val="0"/>
                <w:sz w:val="18"/>
              </w:rPr>
            </w:pP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检查所有的限制装置或保险装置以及固定手柄或操纵杆的操作状态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6</w:t>
            </w:r>
          </w:p>
        </w:tc>
        <w:tc>
          <w:tcPr>
            <w:tcW w:w="1560" w:type="dxa"/>
            <w:vMerge w:val="continue"/>
            <w:shd w:val="clear" w:color="auto" w:fill="FFFFFF"/>
            <w:noWrap/>
            <w:vAlign w:val="center"/>
          </w:tcPr>
          <w:p>
            <w:pPr>
              <w:pStyle w:val="4"/>
              <w:adjustRightInd w:val="0"/>
              <w:snapToGrid w:val="0"/>
              <w:jc w:val="center"/>
              <w:rPr>
                <w:rFonts w:ascii="Times New Roman" w:hAnsi="Times New Roman" w:cs="Times New Roman"/>
                <w:color w:val="auto"/>
                <w:kern w:val="0"/>
                <w:sz w:val="18"/>
              </w:rPr>
            </w:pP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起重机车轮和轮胎的安全状况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58"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7</w:t>
            </w:r>
          </w:p>
        </w:tc>
        <w:tc>
          <w:tcPr>
            <w:tcW w:w="1560" w:type="dxa"/>
            <w:vMerge w:val="continue"/>
            <w:shd w:val="clear" w:color="auto" w:fill="FFFFFF"/>
            <w:noWrap/>
            <w:vAlign w:val="center"/>
          </w:tcPr>
          <w:p>
            <w:pPr>
              <w:pStyle w:val="4"/>
              <w:adjustRightInd w:val="0"/>
              <w:snapToGrid w:val="0"/>
              <w:jc w:val="center"/>
              <w:rPr>
                <w:rFonts w:ascii="Times New Roman" w:hAnsi="Times New Roman" w:cs="Times New Roman"/>
                <w:color w:val="auto"/>
                <w:kern w:val="0"/>
                <w:sz w:val="18"/>
              </w:rPr>
            </w:pP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检查吊钩和其他吊具、安全卡、旋转接头有无损坏、异常活动或磨损。检查吊钩柄螺纹和保险螺母有无可能应磨损或锈蚀导致的过度转动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8</w:t>
            </w:r>
          </w:p>
        </w:tc>
        <w:tc>
          <w:tcPr>
            <w:tcW w:w="1560" w:type="dxa"/>
            <w:vMerge w:val="continue"/>
            <w:shd w:val="clear" w:color="auto" w:fill="FFFFFF"/>
            <w:noWrap/>
            <w:vAlign w:val="center"/>
          </w:tcPr>
          <w:p>
            <w:pPr>
              <w:pStyle w:val="4"/>
              <w:adjustRightInd w:val="0"/>
              <w:snapToGrid w:val="0"/>
              <w:jc w:val="center"/>
              <w:rPr>
                <w:rFonts w:ascii="Times New Roman" w:hAnsi="Times New Roman" w:cs="Times New Roman"/>
                <w:color w:val="auto"/>
                <w:kern w:val="0"/>
                <w:sz w:val="18"/>
              </w:rPr>
            </w:pP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在操作之前，应确定在设备或控制装置上没有插入电缆接头或布线装置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9</w:t>
            </w:r>
          </w:p>
        </w:tc>
        <w:tc>
          <w:tcPr>
            <w:tcW w:w="1560" w:type="dxa"/>
            <w:vMerge w:val="continue"/>
            <w:shd w:val="clear" w:color="auto" w:fill="FFFFFF"/>
            <w:noWrap/>
            <w:vAlign w:val="center"/>
          </w:tcPr>
          <w:p>
            <w:pPr>
              <w:pStyle w:val="4"/>
              <w:adjustRightInd w:val="0"/>
              <w:snapToGrid w:val="0"/>
              <w:jc w:val="center"/>
              <w:rPr>
                <w:rFonts w:ascii="Times New Roman" w:hAnsi="Times New Roman" w:cs="Times New Roman"/>
                <w:color w:val="auto"/>
                <w:kern w:val="0"/>
                <w:sz w:val="18"/>
              </w:rPr>
            </w:pP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检查液压和气压系统软管在正常工作情况下是否有非正常弯曲和磨损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10</w:t>
            </w:r>
          </w:p>
        </w:tc>
        <w:tc>
          <w:tcPr>
            <w:tcW w:w="1560" w:type="dxa"/>
            <w:vMerge w:val="continue"/>
            <w:shd w:val="clear" w:color="auto" w:fill="FFFFFF"/>
            <w:noWrap/>
            <w:vAlign w:val="center"/>
          </w:tcPr>
          <w:p>
            <w:pPr>
              <w:pStyle w:val="4"/>
              <w:adjustRightInd w:val="0"/>
              <w:snapToGrid w:val="0"/>
              <w:jc w:val="center"/>
              <w:rPr>
                <w:rFonts w:ascii="Times New Roman" w:hAnsi="Times New Roman" w:cs="Times New Roman"/>
                <w:color w:val="auto"/>
                <w:kern w:val="0"/>
                <w:sz w:val="18"/>
              </w:rPr>
            </w:pP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钢丝绳在滑轮和卷筒上缠绕正常，没有错位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11</w:t>
            </w:r>
          </w:p>
        </w:tc>
        <w:tc>
          <w:tcPr>
            <w:tcW w:w="1560" w:type="dxa"/>
            <w:vMerge w:val="restart"/>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功能检查</w:t>
            </w: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空载时检查起重机械所有控制系统是否处于正常状态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12</w:t>
            </w:r>
          </w:p>
        </w:tc>
        <w:tc>
          <w:tcPr>
            <w:tcW w:w="1560" w:type="dxa"/>
            <w:vMerge w:val="continue"/>
            <w:shd w:val="clear" w:color="auto" w:fill="FFFFFF"/>
            <w:noWrap/>
            <w:vAlign w:val="center"/>
          </w:tcPr>
          <w:p>
            <w:pPr>
              <w:pStyle w:val="4"/>
              <w:adjustRightInd w:val="0"/>
              <w:snapToGrid w:val="0"/>
              <w:jc w:val="center"/>
              <w:rPr>
                <w:rFonts w:ascii="Times New Roman" w:hAnsi="Times New Roman" w:cs="Times New Roman"/>
                <w:color w:val="auto"/>
                <w:kern w:val="0"/>
                <w:sz w:val="18"/>
              </w:rPr>
            </w:pP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所有听觉报警装置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13</w:t>
            </w:r>
          </w:p>
        </w:tc>
        <w:tc>
          <w:tcPr>
            <w:tcW w:w="1560" w:type="dxa"/>
            <w:vMerge w:val="continue"/>
            <w:shd w:val="clear" w:color="auto" w:fill="FFFFFF"/>
            <w:noWrap/>
            <w:vAlign w:val="center"/>
          </w:tcPr>
          <w:p>
            <w:pPr>
              <w:pStyle w:val="4"/>
              <w:adjustRightInd w:val="0"/>
              <w:snapToGrid w:val="0"/>
              <w:jc w:val="center"/>
              <w:rPr>
                <w:rFonts w:ascii="Times New Roman" w:hAnsi="Times New Roman" w:cs="Times New Roman"/>
                <w:color w:val="auto"/>
                <w:kern w:val="0"/>
                <w:sz w:val="18"/>
              </w:rPr>
            </w:pP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在开动起重机械之前，检查制动器和离合器的功能是否正常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14</w:t>
            </w:r>
          </w:p>
        </w:tc>
        <w:tc>
          <w:tcPr>
            <w:tcW w:w="1560" w:type="dxa"/>
            <w:vMerge w:val="continue"/>
            <w:shd w:val="clear" w:color="auto" w:fill="FFFFFF"/>
            <w:noWrap/>
            <w:vAlign w:val="center"/>
          </w:tcPr>
          <w:p>
            <w:pPr>
              <w:pStyle w:val="4"/>
              <w:adjustRightInd w:val="0"/>
              <w:snapToGrid w:val="0"/>
              <w:jc w:val="center"/>
              <w:rPr>
                <w:rFonts w:ascii="Times New Roman" w:hAnsi="Times New Roman" w:cs="Times New Roman"/>
                <w:color w:val="auto"/>
                <w:kern w:val="0"/>
                <w:sz w:val="18"/>
              </w:rPr>
            </w:pP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超载限制器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15</w:t>
            </w:r>
          </w:p>
        </w:tc>
        <w:tc>
          <w:tcPr>
            <w:tcW w:w="1560" w:type="dxa"/>
            <w:vMerge w:val="continue"/>
            <w:shd w:val="clear" w:color="auto" w:fill="FFFFFF"/>
            <w:noWrap/>
            <w:vAlign w:val="center"/>
          </w:tcPr>
          <w:p>
            <w:pPr>
              <w:pStyle w:val="4"/>
              <w:adjustRightInd w:val="0"/>
              <w:snapToGrid w:val="0"/>
              <w:jc w:val="center"/>
              <w:rPr>
                <w:rFonts w:ascii="Times New Roman" w:hAnsi="Times New Roman" w:cs="Times New Roman"/>
                <w:color w:val="auto"/>
                <w:kern w:val="0"/>
                <w:sz w:val="18"/>
              </w:rPr>
            </w:pP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幅度指示值符合性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16</w:t>
            </w:r>
          </w:p>
        </w:tc>
        <w:tc>
          <w:tcPr>
            <w:tcW w:w="1560" w:type="dxa"/>
            <w:vMerge w:val="continue"/>
            <w:shd w:val="clear" w:color="auto" w:fill="FFFFFF"/>
            <w:noWrap/>
            <w:vAlign w:val="center"/>
          </w:tcPr>
          <w:p>
            <w:pPr>
              <w:pStyle w:val="4"/>
              <w:adjustRightInd w:val="0"/>
              <w:snapToGrid w:val="0"/>
              <w:jc w:val="center"/>
              <w:rPr>
                <w:rFonts w:ascii="Times New Roman" w:hAnsi="Times New Roman" w:cs="Times New Roman"/>
                <w:color w:val="auto"/>
                <w:kern w:val="0"/>
                <w:sz w:val="18"/>
              </w:rPr>
            </w:pP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各气动控制系统中的气压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17</w:t>
            </w:r>
          </w:p>
        </w:tc>
        <w:tc>
          <w:tcPr>
            <w:tcW w:w="1560" w:type="dxa"/>
            <w:vMerge w:val="continue"/>
            <w:shd w:val="clear" w:color="auto" w:fill="FFFFFF"/>
            <w:noWrap/>
            <w:vAlign w:val="center"/>
          </w:tcPr>
          <w:p>
            <w:pPr>
              <w:pStyle w:val="4"/>
              <w:adjustRightInd w:val="0"/>
              <w:snapToGrid w:val="0"/>
              <w:jc w:val="center"/>
              <w:rPr>
                <w:rFonts w:ascii="Times New Roman" w:hAnsi="Times New Roman" w:cs="Times New Roman"/>
                <w:color w:val="auto"/>
                <w:kern w:val="0"/>
                <w:sz w:val="18"/>
              </w:rPr>
            </w:pP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照明灯、挡风屏雨刷和清洗装置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18</w:t>
            </w:r>
          </w:p>
        </w:tc>
        <w:tc>
          <w:tcPr>
            <w:tcW w:w="1560" w:type="dxa"/>
            <w:vMerge w:val="continue"/>
            <w:shd w:val="clear" w:color="auto" w:fill="FFFFFF"/>
            <w:noWrap/>
            <w:vAlign w:val="center"/>
          </w:tcPr>
          <w:p>
            <w:pPr>
              <w:pStyle w:val="4"/>
              <w:adjustRightInd w:val="0"/>
              <w:snapToGrid w:val="0"/>
              <w:jc w:val="center"/>
              <w:rPr>
                <w:rFonts w:ascii="Times New Roman" w:hAnsi="Times New Roman" w:cs="Times New Roman"/>
                <w:color w:val="auto"/>
                <w:kern w:val="0"/>
                <w:sz w:val="18"/>
              </w:rPr>
            </w:pP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检查防风锚定装置的安全性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19</w:t>
            </w:r>
          </w:p>
        </w:tc>
        <w:tc>
          <w:tcPr>
            <w:tcW w:w="1560"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其他异常情况及采取措施</w:t>
            </w:r>
          </w:p>
        </w:tc>
        <w:tc>
          <w:tcPr>
            <w:tcW w:w="7229" w:type="dxa"/>
            <w:shd w:val="clear" w:color="auto" w:fill="FFFFFF"/>
            <w:noWrap/>
            <w:vAlign w:val="center"/>
          </w:tcPr>
          <w:p>
            <w:pPr>
              <w:pStyle w:val="4"/>
              <w:adjustRightInd w:val="0"/>
              <w:snapToGrid w:val="0"/>
              <w:rPr>
                <w:rFonts w:ascii="Times New Roman" w:hAnsi="Times New Roman" w:cs="Times New Roman"/>
                <w:color w:val="auto"/>
                <w:kern w:val="0"/>
                <w:sz w:val="18"/>
              </w:rPr>
            </w:pPr>
          </w:p>
        </w:tc>
      </w:tr>
    </w:tbl>
    <w:p>
      <w:pPr>
        <w:pStyle w:val="13"/>
        <w:rPr>
          <w:rFonts w:ascii="Times New Roman"/>
          <w:color w:val="auto"/>
        </w:rPr>
      </w:pPr>
    </w:p>
    <w:p>
      <w:pPr>
        <w:snapToGrid w:val="0"/>
        <w:rPr>
          <w:rFonts w:ascii="Times New Roman" w:hAnsi="Times New Roman" w:cs="Times New Roman"/>
          <w:color w:val="auto"/>
          <w:sz w:val="18"/>
          <w:szCs w:val="18"/>
        </w:rPr>
        <w:sectPr>
          <w:pgSz w:w="11900" w:h="16840"/>
          <w:pgMar w:top="1134" w:right="1134" w:bottom="1134" w:left="1134" w:header="851" w:footer="851" w:gutter="0"/>
          <w:pgNumType w:fmt="numberInDash"/>
          <w:cols w:space="720" w:num="1"/>
          <w:docGrid w:linePitch="360" w:charSpace="0"/>
        </w:sect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auto"/>
          <w:kern w:val="2"/>
          <w:sz w:val="32"/>
          <w:szCs w:val="32"/>
          <w:lang w:val="zh-TW" w:eastAsia="zh-TW" w:bidi="zh-TW"/>
        </w:rPr>
      </w:pPr>
      <w:r>
        <w:rPr>
          <w:rFonts w:hint="eastAsia" w:ascii="方正小标宋简体" w:hAnsi="方正小标宋简体" w:eastAsia="方正小标宋简体" w:cs="方正小标宋简体"/>
          <w:b w:val="0"/>
          <w:bCs/>
          <w:color w:val="auto"/>
          <w:kern w:val="2"/>
          <w:sz w:val="32"/>
          <w:szCs w:val="32"/>
          <w:lang w:val="zh-TW" w:eastAsia="zh-TW" w:bidi="zh-TW"/>
        </w:rPr>
        <w:t>表</w:t>
      </w:r>
      <w:r>
        <w:rPr>
          <w:rFonts w:hint="eastAsia" w:ascii="方正小标宋简体" w:hAnsi="方正小标宋简体" w:eastAsia="方正小标宋简体" w:cs="方正小标宋简体"/>
          <w:b w:val="0"/>
          <w:bCs/>
          <w:color w:val="auto"/>
          <w:kern w:val="2"/>
          <w:sz w:val="32"/>
          <w:szCs w:val="32"/>
          <w:lang w:val="en-US" w:eastAsia="zh-CN" w:bidi="zh-TW"/>
        </w:rPr>
        <w:t xml:space="preserve">B.12  </w:t>
      </w:r>
      <w:r>
        <w:rPr>
          <w:rFonts w:hint="eastAsia" w:ascii="方正小标宋简体" w:hAnsi="方正小标宋简体" w:eastAsia="方正小标宋简体" w:cs="方正小标宋简体"/>
          <w:b w:val="0"/>
          <w:bCs/>
          <w:color w:val="auto"/>
          <w:kern w:val="2"/>
          <w:sz w:val="32"/>
          <w:szCs w:val="32"/>
          <w:lang w:val="zh-TW" w:eastAsia="zh-TW" w:bidi="zh-TW"/>
        </w:rPr>
        <w:t>特种设备</w:t>
      </w:r>
      <w:r>
        <w:rPr>
          <w:rFonts w:hint="eastAsia" w:ascii="方正小标宋简体" w:hAnsi="方正小标宋简体" w:eastAsia="方正小标宋简体" w:cs="方正小标宋简体"/>
          <w:b w:val="0"/>
          <w:bCs/>
          <w:color w:val="auto"/>
          <w:kern w:val="2"/>
          <w:sz w:val="32"/>
          <w:szCs w:val="32"/>
          <w:lang w:val="zh-TW" w:eastAsia="zh-CN" w:bidi="zh-TW"/>
        </w:rPr>
        <w:t>隐患排查清单——客运索道专项</w:t>
      </w:r>
      <w:r>
        <w:rPr>
          <w:rFonts w:hint="eastAsia" w:ascii="方正小标宋简体" w:hAnsi="方正小标宋简体" w:eastAsia="方正小标宋简体" w:cs="方正小标宋简体"/>
          <w:b w:val="0"/>
          <w:bCs/>
          <w:color w:val="auto"/>
          <w:kern w:val="2"/>
          <w:sz w:val="32"/>
          <w:szCs w:val="32"/>
          <w:lang w:val="zh-TW" w:eastAsia="zh-TW" w:bidi="zh-TW"/>
        </w:rPr>
        <w:t>要求</w:t>
      </w:r>
    </w:p>
    <w:tbl>
      <w:tblPr>
        <w:tblStyle w:val="8"/>
        <w:tblW w:w="1496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245"/>
        <w:gridCol w:w="511"/>
        <w:gridCol w:w="708"/>
        <w:gridCol w:w="567"/>
        <w:gridCol w:w="993"/>
        <w:gridCol w:w="992"/>
        <w:gridCol w:w="99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41" w:hRule="exact"/>
          <w:tblHeader/>
          <w:jc w:val="center"/>
        </w:trPr>
        <w:tc>
          <w:tcPr>
            <w:tcW w:w="1245"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排查内容</w:t>
            </w:r>
          </w:p>
        </w:tc>
        <w:tc>
          <w:tcPr>
            <w:tcW w:w="511"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实施</w:t>
            </w:r>
          </w:p>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单位</w:t>
            </w:r>
          </w:p>
        </w:tc>
        <w:tc>
          <w:tcPr>
            <w:tcW w:w="708"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排查人</w:t>
            </w:r>
          </w:p>
        </w:tc>
        <w:tc>
          <w:tcPr>
            <w:tcW w:w="567"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rPr>
              <w:t>排查</w:t>
            </w:r>
          </w:p>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时间</w:t>
            </w:r>
          </w:p>
        </w:tc>
        <w:tc>
          <w:tcPr>
            <w:tcW w:w="1985"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排查依据</w:t>
            </w:r>
          </w:p>
        </w:tc>
        <w:tc>
          <w:tcPr>
            <w:tcW w:w="9947"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99" w:hRule="exact"/>
          <w:tblHeader/>
          <w:jc w:val="center"/>
        </w:trPr>
        <w:tc>
          <w:tcPr>
            <w:tcW w:w="1245"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511"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708"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567"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993"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法规</w:t>
            </w:r>
            <w:r>
              <w:rPr>
                <w:rFonts w:ascii="Times New Roman" w:hAnsi="Times New Roman" w:eastAsia="黑体" w:cs="Times New Roman"/>
                <w:b/>
                <w:color w:val="auto"/>
                <w:sz w:val="18"/>
                <w:szCs w:val="18"/>
              </w:rPr>
              <w:t>标准</w:t>
            </w:r>
          </w:p>
        </w:tc>
        <w:tc>
          <w:tcPr>
            <w:tcW w:w="992"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适用条款</w:t>
            </w:r>
          </w:p>
        </w:tc>
        <w:tc>
          <w:tcPr>
            <w:tcW w:w="9947" w:type="dxa"/>
            <w:vMerge w:val="continue"/>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699" w:hRule="exact"/>
          <w:jc w:val="center"/>
        </w:trPr>
        <w:tc>
          <w:tcPr>
            <w:tcW w:w="124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bookmarkStart w:id="438" w:name="_Hlk53691378"/>
            <w:r>
              <w:rPr>
                <w:rFonts w:ascii="Times New Roman" w:hAnsi="Times New Roman" w:cs="Times New Roman"/>
                <w:color w:val="auto"/>
                <w:sz w:val="18"/>
                <w:szCs w:val="18"/>
                <w:lang w:eastAsia="zh-CN"/>
              </w:rPr>
              <w:t>管理人员职责</w:t>
            </w:r>
            <w:bookmarkEnd w:id="438"/>
          </w:p>
        </w:tc>
        <w:tc>
          <w:tcPr>
            <w:tcW w:w="511"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708"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安全管理员</w:t>
            </w:r>
          </w:p>
        </w:tc>
        <w:tc>
          <w:tcPr>
            <w:tcW w:w="567"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每年至</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少一次</w:t>
            </w:r>
          </w:p>
        </w:tc>
        <w:tc>
          <w:tcPr>
            <w:tcW w:w="993" w:type="dxa"/>
            <w:vMerge w:val="restart"/>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客运索道安全监督管理规定</w:t>
            </w: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第二十二</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条</w:t>
            </w:r>
          </w:p>
        </w:tc>
        <w:tc>
          <w:tcPr>
            <w:tcW w:w="9947" w:type="dxa"/>
            <w:shd w:val="clear" w:color="auto" w:fill="FFFFFF"/>
            <w:noWrap/>
            <w:vAlign w:val="top"/>
          </w:tcPr>
          <w:p>
            <w:pPr>
              <w:pStyle w:val="10"/>
              <w:keepNext w:val="0"/>
              <w:keepLines w:val="0"/>
              <w:pageBreakBefore w:val="0"/>
              <w:widowControl w:val="0"/>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客运索道使用单位安全管理人员应当履行以下职责：</w:t>
            </w:r>
          </w:p>
          <w:p>
            <w:pPr>
              <w:pStyle w:val="10"/>
              <w:keepNext w:val="0"/>
              <w:keepLines w:val="0"/>
              <w:pageBreakBefore w:val="0"/>
              <w:widowControl w:val="0"/>
              <w:tabs>
                <w:tab w:val="left" w:pos="408"/>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(一)负责建立安全管理制度并检查各项制度的落实情况；</w:t>
            </w:r>
          </w:p>
          <w:p>
            <w:pPr>
              <w:pStyle w:val="10"/>
              <w:keepNext w:val="0"/>
              <w:keepLines w:val="0"/>
              <w:pageBreakBefore w:val="0"/>
              <w:widowControl w:val="0"/>
              <w:tabs>
                <w:tab w:val="left" w:pos="403"/>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(二)做好本单位客运索道的安全监督管理工作，负责组织设备自检，申报使用登记和定期检验；</w:t>
            </w:r>
          </w:p>
          <w:p>
            <w:pPr>
              <w:pStyle w:val="10"/>
              <w:keepNext w:val="0"/>
              <w:keepLines w:val="0"/>
              <w:pageBreakBefore w:val="0"/>
              <w:widowControl w:val="0"/>
              <w:tabs>
                <w:tab w:val="left" w:pos="418"/>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(三)对客运索道使用状况进行检查，发现问题应当立即处理;情况紧急时，可以决定停止使用并及时报告本单位有关负责人；</w:t>
            </w:r>
          </w:p>
          <w:p>
            <w:pPr>
              <w:pStyle w:val="10"/>
              <w:keepNext w:val="0"/>
              <w:keepLines w:val="0"/>
              <w:pageBreakBefore w:val="0"/>
              <w:widowControl w:val="0"/>
              <w:tabs>
                <w:tab w:val="left" w:pos="408"/>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(四)组织应急救援演习，协助事故调查处理；</w:t>
            </w:r>
          </w:p>
          <w:p>
            <w:pPr>
              <w:pStyle w:val="10"/>
              <w:keepNext w:val="0"/>
              <w:keepLines w:val="0"/>
              <w:pageBreakBefore w:val="0"/>
              <w:widowControl w:val="0"/>
              <w:tabs>
                <w:tab w:val="left" w:pos="408"/>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(五)组织本单位人员的安全教育和培训；</w:t>
            </w:r>
          </w:p>
          <w:p>
            <w:pPr>
              <w:pStyle w:val="10"/>
              <w:keepNext w:val="0"/>
              <w:keepLines w:val="0"/>
              <w:pageBreakBefore w:val="0"/>
              <w:widowControl w:val="0"/>
              <w:tabs>
                <w:tab w:val="left" w:pos="403"/>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(六)督促落实技术档案的管理；</w:t>
            </w:r>
          </w:p>
          <w:p>
            <w:pPr>
              <w:pStyle w:val="10"/>
              <w:keepNext w:val="0"/>
              <w:keepLines w:val="0"/>
              <w:pageBreakBefore w:val="0"/>
              <w:widowControl w:val="0"/>
              <w:tabs>
                <w:tab w:val="left" w:pos="408"/>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(七)法律法规及安全技术规范等规定的其他内容。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870" w:hRule="exact"/>
          <w:jc w:val="center"/>
        </w:trPr>
        <w:tc>
          <w:tcPr>
            <w:tcW w:w="124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bookmarkStart w:id="439" w:name="_Hlk53691395"/>
            <w:r>
              <w:rPr>
                <w:rFonts w:ascii="Times New Roman" w:hAnsi="Times New Roman" w:cs="Times New Roman"/>
                <w:color w:val="auto"/>
                <w:sz w:val="18"/>
                <w:szCs w:val="18"/>
                <w:lang w:eastAsia="zh-CN"/>
              </w:rPr>
              <w:t>作业人员配备与职责</w:t>
            </w:r>
            <w:bookmarkEnd w:id="439"/>
          </w:p>
        </w:tc>
        <w:tc>
          <w:tcPr>
            <w:tcW w:w="51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8"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6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3"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第二十三</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条</w:t>
            </w:r>
          </w:p>
        </w:tc>
        <w:tc>
          <w:tcPr>
            <w:tcW w:w="9947" w:type="dxa"/>
            <w:shd w:val="clear" w:color="auto" w:fill="FFFFFF"/>
            <w:noWrap/>
            <w:vAlign w:val="center"/>
          </w:tcPr>
          <w:p>
            <w:pPr>
              <w:pStyle w:val="10"/>
              <w:keepNext w:val="0"/>
              <w:keepLines w:val="0"/>
              <w:pageBreakBefore w:val="0"/>
              <w:widowControl w:val="0"/>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客运索道使用单位应当按照安全技术规范等要求，配备作业人员，并加强对服务人员岗前培训教育，使其掌握基本的应急技能，协助作业人员进行应急处置。作业人员应当履行以下职责：</w:t>
            </w:r>
          </w:p>
          <w:p>
            <w:pPr>
              <w:pStyle w:val="10"/>
              <w:keepNext w:val="0"/>
              <w:keepLines w:val="0"/>
              <w:pageBreakBefore w:val="0"/>
              <w:widowControl w:val="0"/>
              <w:tabs>
                <w:tab w:val="left" w:pos="422"/>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(一)严格执行有关操作规程和操作人员守则；</w:t>
            </w:r>
          </w:p>
          <w:p>
            <w:pPr>
              <w:pStyle w:val="10"/>
              <w:keepNext w:val="0"/>
              <w:keepLines w:val="0"/>
              <w:pageBreakBefore w:val="0"/>
              <w:widowControl w:val="0"/>
              <w:tabs>
                <w:tab w:val="left" w:pos="422"/>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(二)负责设备使用状况日常检查、维护保养，对日常检查、日常维护保养、故障排除情况如实记录，保证设备正常运行；</w:t>
            </w:r>
          </w:p>
          <w:p>
            <w:pPr>
              <w:pStyle w:val="10"/>
              <w:keepNext w:val="0"/>
              <w:keepLines w:val="0"/>
              <w:pageBreakBefore w:val="0"/>
              <w:widowControl w:val="0"/>
              <w:tabs>
                <w:tab w:val="left" w:pos="408"/>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(三)每次运行前应当对保护乘客的安全装置进行检查确认；</w:t>
            </w:r>
          </w:p>
          <w:p>
            <w:pPr>
              <w:pStyle w:val="10"/>
              <w:keepNext w:val="0"/>
              <w:keepLines w:val="0"/>
              <w:pageBreakBefore w:val="0"/>
              <w:widowControl w:val="0"/>
              <w:tabs>
                <w:tab w:val="left" w:pos="408"/>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(四)作业过程中发现隐患或者其他不安全因素，应当立即向安全管理人员和本单位有关负责人报告；</w:t>
            </w:r>
          </w:p>
          <w:p>
            <w:pPr>
              <w:pStyle w:val="10"/>
              <w:keepNext w:val="0"/>
              <w:keepLines w:val="0"/>
              <w:pageBreakBefore w:val="0"/>
              <w:widowControl w:val="0"/>
              <w:tabs>
                <w:tab w:val="left" w:pos="403"/>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(五)熟悉应急救援流程，发现设备运行不正常时，应当按照操作规程采取措施保证安全；</w:t>
            </w:r>
          </w:p>
          <w:p>
            <w:pPr>
              <w:pStyle w:val="10"/>
              <w:keepNext w:val="0"/>
              <w:keepLines w:val="0"/>
              <w:pageBreakBefore w:val="0"/>
              <w:widowControl w:val="0"/>
              <w:tabs>
                <w:tab w:val="left" w:pos="408"/>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(六)法律法规及安全技术规范等规定的其他内容。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408" w:hRule="exact"/>
          <w:jc w:val="center"/>
        </w:trPr>
        <w:tc>
          <w:tcPr>
            <w:tcW w:w="124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bookmarkStart w:id="440" w:name="_Hlk53691412"/>
            <w:r>
              <w:rPr>
                <w:rFonts w:ascii="Times New Roman" w:hAnsi="Times New Roman" w:cs="Times New Roman"/>
                <w:color w:val="auto"/>
                <w:sz w:val="18"/>
                <w:szCs w:val="18"/>
                <w:lang w:eastAsia="zh-CN"/>
              </w:rPr>
              <w:t>安全管理制度建立</w:t>
            </w:r>
            <w:bookmarkEnd w:id="440"/>
          </w:p>
        </w:tc>
        <w:tc>
          <w:tcPr>
            <w:tcW w:w="51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8"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6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3"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第二十四</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条</w:t>
            </w:r>
          </w:p>
        </w:tc>
        <w:tc>
          <w:tcPr>
            <w:tcW w:w="9947" w:type="dxa"/>
            <w:shd w:val="clear" w:color="auto" w:fill="FFFFFF"/>
            <w:noWrap/>
            <w:vAlign w:val="center"/>
          </w:tcPr>
          <w:p>
            <w:pPr>
              <w:pStyle w:val="10"/>
              <w:keepNext w:val="0"/>
              <w:keepLines w:val="0"/>
              <w:pageBreakBefore w:val="0"/>
              <w:widowControl w:val="0"/>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使用单位应当建立健全以下安全管理制度：</w:t>
            </w:r>
          </w:p>
          <w:p>
            <w:pPr>
              <w:pStyle w:val="10"/>
              <w:keepNext w:val="0"/>
              <w:keepLines w:val="0"/>
              <w:pageBreakBefore w:val="0"/>
              <w:widowControl w:val="0"/>
              <w:tabs>
                <w:tab w:val="left" w:pos="408"/>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(一)技术档案管理制度；</w:t>
            </w:r>
          </w:p>
          <w:p>
            <w:pPr>
              <w:pStyle w:val="10"/>
              <w:keepNext w:val="0"/>
              <w:keepLines w:val="0"/>
              <w:pageBreakBefore w:val="0"/>
              <w:widowControl w:val="0"/>
              <w:tabs>
                <w:tab w:val="left" w:pos="413"/>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(二)安全操作规程；</w:t>
            </w:r>
          </w:p>
          <w:p>
            <w:pPr>
              <w:pStyle w:val="10"/>
              <w:keepNext w:val="0"/>
              <w:keepLines w:val="0"/>
              <w:pageBreakBefore w:val="0"/>
              <w:widowControl w:val="0"/>
              <w:tabs>
                <w:tab w:val="left" w:pos="442"/>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(三)日常检查与定期自行检查制度；</w:t>
            </w:r>
          </w:p>
          <w:p>
            <w:pPr>
              <w:pStyle w:val="10"/>
              <w:keepNext w:val="0"/>
              <w:keepLines w:val="0"/>
              <w:pageBreakBefore w:val="0"/>
              <w:widowControl w:val="0"/>
              <w:tabs>
                <w:tab w:val="left" w:pos="408"/>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(四)维护保养制度；</w:t>
            </w:r>
          </w:p>
          <w:p>
            <w:pPr>
              <w:pStyle w:val="10"/>
              <w:keepNext w:val="0"/>
              <w:keepLines w:val="0"/>
              <w:pageBreakBefore w:val="0"/>
              <w:widowControl w:val="0"/>
              <w:tabs>
                <w:tab w:val="left" w:pos="408"/>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(五)定期报检制度；</w:t>
            </w:r>
          </w:p>
          <w:p>
            <w:pPr>
              <w:pStyle w:val="10"/>
              <w:keepNext w:val="0"/>
              <w:keepLines w:val="0"/>
              <w:pageBreakBefore w:val="0"/>
              <w:widowControl w:val="0"/>
              <w:tabs>
                <w:tab w:val="left" w:pos="408"/>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(六)作业和服务人员守则；</w:t>
            </w:r>
          </w:p>
          <w:p>
            <w:pPr>
              <w:pStyle w:val="10"/>
              <w:keepNext w:val="0"/>
              <w:keepLines w:val="0"/>
              <w:pageBreakBefore w:val="0"/>
              <w:widowControl w:val="0"/>
              <w:tabs>
                <w:tab w:val="left" w:pos="408"/>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(七)作业人员及相关服务人员安全培训考核制度；</w:t>
            </w:r>
          </w:p>
          <w:p>
            <w:pPr>
              <w:pStyle w:val="10"/>
              <w:keepNext w:val="0"/>
              <w:keepLines w:val="0"/>
              <w:pageBreakBefore w:val="0"/>
              <w:widowControl w:val="0"/>
              <w:tabs>
                <w:tab w:val="left" w:pos="403"/>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(八)应急救援演练制度；</w:t>
            </w:r>
          </w:p>
          <w:p>
            <w:pPr>
              <w:pStyle w:val="10"/>
              <w:keepNext w:val="0"/>
              <w:keepLines w:val="0"/>
              <w:pageBreakBefore w:val="0"/>
              <w:widowControl w:val="0"/>
              <w:tabs>
                <w:tab w:val="left" w:pos="413"/>
              </w:tabs>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(九)意外事件和事故处理制度；</w:t>
            </w:r>
          </w:p>
          <w:p>
            <w:pPr>
              <w:pStyle w:val="10"/>
              <w:keepNext w:val="0"/>
              <w:keepLines w:val="0"/>
              <w:pageBreakBefore w:val="0"/>
              <w:widowControl w:val="0"/>
              <w:kinsoku/>
              <w:wordWrap/>
              <w:overflowPunct/>
              <w:topLinePunct w:val="0"/>
              <w:autoSpaceDE/>
              <w:autoSpaceDN/>
              <w:bidi w:val="0"/>
              <w:adjustRightInd/>
              <w:snapToGrid w:val="0"/>
              <w:spacing w:line="200" w:lineRule="exact"/>
              <w:textAlignment w:val="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(十)法律法规及安全技术规范等规定的其他制度。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20" w:hRule="exact"/>
          <w:jc w:val="center"/>
        </w:trPr>
        <w:tc>
          <w:tcPr>
            <w:tcW w:w="124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运营前试运行检查</w:t>
            </w:r>
          </w:p>
        </w:tc>
        <w:tc>
          <w:tcPr>
            <w:tcW w:w="511" w:type="dxa"/>
            <w:vMerge w:val="restart"/>
            <w:shd w:val="clear" w:color="auto" w:fill="FFFFFF"/>
            <w:noWrap/>
            <w:vAlign w:val="center"/>
          </w:tcPr>
          <w:p>
            <w:pPr>
              <w:pStyle w:val="10"/>
              <w:snapToGrid w:val="0"/>
              <w:spacing w:line="240" w:lineRule="auto"/>
              <w:jc w:val="center"/>
              <w:rPr>
                <w:rFonts w:ascii="Times New Roman" w:hAnsi="Times New Roman" w:eastAsia="PMingLiU" w:cs="Times New Roman"/>
                <w:color w:val="auto"/>
                <w:sz w:val="18"/>
                <w:szCs w:val="18"/>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708" w:type="dxa"/>
            <w:vMerge w:val="restart"/>
            <w:shd w:val="clear" w:color="auto" w:fill="FFFFFF"/>
            <w:noWrap/>
            <w:vAlign w:val="center"/>
          </w:tcPr>
          <w:p>
            <w:pPr>
              <w:pStyle w:val="10"/>
              <w:snapToGrid w:val="0"/>
              <w:spacing w:line="240" w:lineRule="auto"/>
              <w:jc w:val="center"/>
              <w:rPr>
                <w:rFonts w:ascii="Times New Roman" w:hAnsi="Times New Roman" w:eastAsia="PMingLiU" w:cs="Times New Roman"/>
                <w:color w:val="auto"/>
                <w:sz w:val="18"/>
                <w:szCs w:val="18"/>
              </w:rPr>
            </w:pPr>
            <w:r>
              <w:rPr>
                <w:rFonts w:ascii="Times New Roman" w:hAnsi="Times New Roman" w:cs="Times New Roman"/>
                <w:color w:val="auto"/>
                <w:sz w:val="18"/>
                <w:szCs w:val="18"/>
                <w:lang w:eastAsia="zh-CN"/>
              </w:rPr>
              <w:t>作业</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人员</w:t>
            </w:r>
          </w:p>
        </w:tc>
        <w:tc>
          <w:tcPr>
            <w:tcW w:w="567"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使用单位自定</w:t>
            </w:r>
          </w:p>
        </w:tc>
        <w:tc>
          <w:tcPr>
            <w:tcW w:w="993"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客运索道安全监督管理规定</w:t>
            </w:r>
          </w:p>
        </w:tc>
        <w:tc>
          <w:tcPr>
            <w:tcW w:w="992"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第二十七条</w:t>
            </w:r>
          </w:p>
        </w:tc>
        <w:tc>
          <w:tcPr>
            <w:tcW w:w="9947" w:type="dxa"/>
            <w:vMerge w:val="restart"/>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客运索道使用单位应当按照安全技术规范和使用维护说明书的要求，开展设备运营前试运行检查、日常检查和维护保养、定期自行检查,并如实记录。对日常维护保养和试运行检查等自行检查中发现的异常情况，应当及时处理。在国家法定节假日或者开展大型活动等客运索道乘坐人员高峰期前，使用单位应当对客运索道进行全面检查维护，并加强日常检查和安全值班。</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客运索道使用单位进行本单位设备的维护保养工作，应当按照有关安全技术规范要求配备人员、工具和设备。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26" w:hRule="exact"/>
          <w:jc w:val="center"/>
        </w:trPr>
        <w:tc>
          <w:tcPr>
            <w:tcW w:w="124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日常检查和维护保养</w:t>
            </w:r>
          </w:p>
        </w:tc>
        <w:tc>
          <w:tcPr>
            <w:tcW w:w="51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8"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6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2"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47"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77" w:hRule="exact"/>
          <w:jc w:val="center"/>
        </w:trPr>
        <w:tc>
          <w:tcPr>
            <w:tcW w:w="124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定期自行检查</w:t>
            </w:r>
          </w:p>
        </w:tc>
        <w:tc>
          <w:tcPr>
            <w:tcW w:w="51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8"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6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2"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47"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93" w:hRule="exact"/>
          <w:jc w:val="center"/>
        </w:trPr>
        <w:tc>
          <w:tcPr>
            <w:tcW w:w="124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全面检查维护</w:t>
            </w:r>
          </w:p>
        </w:tc>
        <w:tc>
          <w:tcPr>
            <w:tcW w:w="51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708"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567"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3"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2"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p>
        </w:tc>
        <w:tc>
          <w:tcPr>
            <w:tcW w:w="9947"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47" w:hRule="exact"/>
          <w:jc w:val="center"/>
        </w:trPr>
        <w:tc>
          <w:tcPr>
            <w:tcW w:w="1245"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定期检验</w:t>
            </w:r>
          </w:p>
        </w:tc>
        <w:tc>
          <w:tcPr>
            <w:tcW w:w="51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检验</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机构</w:t>
            </w:r>
          </w:p>
        </w:tc>
        <w:tc>
          <w:tcPr>
            <w:tcW w:w="70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有资质的检验人员</w:t>
            </w:r>
          </w:p>
        </w:tc>
        <w:tc>
          <w:tcPr>
            <w:tcW w:w="567"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按照规范确定</w:t>
            </w: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客运索道安全监督管理规定</w:t>
            </w:r>
          </w:p>
        </w:tc>
        <w:tc>
          <w:tcPr>
            <w:tcW w:w="992"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第二十六条</w:t>
            </w:r>
          </w:p>
        </w:tc>
        <w:tc>
          <w:tcPr>
            <w:tcW w:w="9947"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客运索道使用单位应当按照安全技术规范的要求，在定期检验周期届满前一个月向特种设备检验机构提出定期检验要求。</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客运索道定期检验分为全面检验和年度检验，客运架空索道和客运缆车在安装监督检验合格后每三年进行一次全面检验，期间的两个年度，每年进行一次年度检验。客运拖牵索道每年进行一次年度检验。</w:t>
            </w:r>
          </w:p>
        </w:tc>
      </w:tr>
    </w:tbl>
    <w:p>
      <w:pPr>
        <w:pStyle w:val="9"/>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方正小标宋简体" w:hAnsi="方正小标宋简体" w:eastAsia="方正小标宋简体" w:cs="方正小标宋简体"/>
          <w:b w:val="0"/>
          <w:bCs/>
          <w:color w:val="auto"/>
          <w:kern w:val="2"/>
          <w:sz w:val="32"/>
          <w:szCs w:val="32"/>
          <w:lang w:val="zh-TW" w:eastAsia="zh-CN" w:bidi="zh-TW"/>
        </w:rPr>
      </w:pPr>
      <w:r>
        <w:rPr>
          <w:rFonts w:hint="eastAsia" w:ascii="方正小标宋简体" w:hAnsi="方正小标宋简体" w:eastAsia="方正小标宋简体" w:cs="方正小标宋简体"/>
          <w:b w:val="0"/>
          <w:bCs/>
          <w:color w:val="auto"/>
          <w:kern w:val="2"/>
          <w:sz w:val="32"/>
          <w:szCs w:val="32"/>
          <w:lang w:val="en-US" w:eastAsia="zh-CN" w:bidi="zh-TW"/>
        </w:rPr>
        <w:t xml:space="preserve">表B.13 </w:t>
      </w:r>
      <w:r>
        <w:rPr>
          <w:rFonts w:hint="eastAsia" w:ascii="方正小标宋简体" w:hAnsi="方正小标宋简体" w:eastAsia="方正小标宋简体" w:cs="方正小标宋简体"/>
          <w:b w:val="0"/>
          <w:bCs/>
          <w:color w:val="auto"/>
          <w:kern w:val="2"/>
          <w:sz w:val="32"/>
          <w:szCs w:val="32"/>
          <w:lang w:val="zh-TW" w:eastAsia="zh-CN" w:bidi="zh-TW"/>
        </w:rPr>
        <w:t>特种设备隐患排查清单——大型游乐设施专项要求</w:t>
      </w:r>
    </w:p>
    <w:tbl>
      <w:tblPr>
        <w:tblStyle w:val="8"/>
        <w:tblW w:w="1496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004"/>
        <w:gridCol w:w="659"/>
        <w:gridCol w:w="738"/>
        <w:gridCol w:w="750"/>
        <w:gridCol w:w="1156"/>
        <w:gridCol w:w="1191"/>
        <w:gridCol w:w="9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46" w:hRule="exact"/>
          <w:tblHeader/>
          <w:jc w:val="center"/>
        </w:trPr>
        <w:tc>
          <w:tcPr>
            <w:tcW w:w="1004"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排查内容</w:t>
            </w:r>
          </w:p>
        </w:tc>
        <w:tc>
          <w:tcPr>
            <w:tcW w:w="659"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实施</w:t>
            </w:r>
          </w:p>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单位</w:t>
            </w:r>
          </w:p>
        </w:tc>
        <w:tc>
          <w:tcPr>
            <w:tcW w:w="738"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排查人</w:t>
            </w:r>
          </w:p>
        </w:tc>
        <w:tc>
          <w:tcPr>
            <w:tcW w:w="750"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rPr>
              <w:t>排查</w:t>
            </w:r>
          </w:p>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时间</w:t>
            </w:r>
          </w:p>
        </w:tc>
        <w:tc>
          <w:tcPr>
            <w:tcW w:w="2347"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排查依据</w:t>
            </w:r>
          </w:p>
        </w:tc>
        <w:tc>
          <w:tcPr>
            <w:tcW w:w="9465"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52" w:hRule="exact"/>
          <w:tblHeader/>
          <w:jc w:val="center"/>
        </w:trPr>
        <w:tc>
          <w:tcPr>
            <w:tcW w:w="1004"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6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738"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750"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1156"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法规</w:t>
            </w:r>
            <w:r>
              <w:rPr>
                <w:rFonts w:ascii="Times New Roman" w:hAnsi="Times New Roman" w:eastAsia="黑体" w:cs="Times New Roman"/>
                <w:b/>
                <w:color w:val="auto"/>
                <w:sz w:val="18"/>
                <w:szCs w:val="18"/>
              </w:rPr>
              <w:t>标准</w:t>
            </w:r>
          </w:p>
        </w:tc>
        <w:tc>
          <w:tcPr>
            <w:tcW w:w="1191"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适用条款</w:t>
            </w:r>
          </w:p>
        </w:tc>
        <w:tc>
          <w:tcPr>
            <w:tcW w:w="9465" w:type="dxa"/>
            <w:vMerge w:val="continue"/>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823"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管理制度建立</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安全管理员</w:t>
            </w:r>
          </w:p>
        </w:tc>
        <w:tc>
          <w:tcPr>
            <w:tcW w:w="750" w:type="dxa"/>
            <w:vMerge w:val="restart"/>
            <w:shd w:val="clear" w:color="auto" w:fill="FFFFFF"/>
            <w:noWrap/>
            <w:vAlign w:val="center"/>
          </w:tcPr>
          <w:p>
            <w:pPr>
              <w:pStyle w:val="10"/>
              <w:snapToGrid w:val="0"/>
              <w:spacing w:line="240" w:lineRule="auto"/>
              <w:jc w:val="center"/>
              <w:rPr>
                <w:rFonts w:ascii="Times New Roman" w:hAnsi="Times New Roman" w:eastAsia="PMingLiU" w:cs="Times New Roman"/>
                <w:color w:val="auto"/>
                <w:sz w:val="18"/>
                <w:szCs w:val="18"/>
              </w:rPr>
            </w:pPr>
            <w:r>
              <w:rPr>
                <w:rFonts w:ascii="Times New Roman" w:hAnsi="Times New Roman" w:cs="Times New Roman"/>
                <w:color w:val="auto"/>
                <w:sz w:val="18"/>
                <w:szCs w:val="18"/>
              </w:rPr>
              <w:t>每年至少一次</w:t>
            </w:r>
          </w:p>
        </w:tc>
        <w:tc>
          <w:tcPr>
            <w:tcW w:w="1156"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《大型游乐设施安全监察规定》(总局第</w:t>
            </w:r>
            <w:r>
              <w:rPr>
                <w:rFonts w:ascii="Times New Roman" w:hAnsi="Times New Roman" w:eastAsia="Times New Roman" w:cs="Times New Roman"/>
                <w:color w:val="auto"/>
                <w:sz w:val="18"/>
                <w:szCs w:val="18"/>
              </w:rPr>
              <w:t>154</w:t>
            </w:r>
            <w:r>
              <w:rPr>
                <w:rFonts w:ascii="Times New Roman" w:hAnsi="Times New Roman" w:cs="Times New Roman"/>
                <w:color w:val="auto"/>
                <w:sz w:val="18"/>
                <w:szCs w:val="18"/>
              </w:rPr>
              <w:t>号令</w:t>
            </w:r>
          </w:p>
        </w:tc>
        <w:tc>
          <w:tcPr>
            <w:tcW w:w="119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第二十一条</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安全管理制度应当包括以下主要内容：</w:t>
            </w:r>
          </w:p>
          <w:p>
            <w:pPr>
              <w:pStyle w:val="10"/>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(一)技术档案管理制度；</w:t>
            </w:r>
          </w:p>
          <w:p>
            <w:pPr>
              <w:pStyle w:val="10"/>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(二)设备管理制度；</w:t>
            </w:r>
          </w:p>
          <w:p>
            <w:pPr>
              <w:pStyle w:val="10"/>
              <w:tabs>
                <w:tab w:val="left" w:pos="413"/>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(三)安全操作规程；</w:t>
            </w:r>
          </w:p>
          <w:p>
            <w:pPr>
              <w:pStyle w:val="10"/>
              <w:tabs>
                <w:tab w:val="left" w:pos="44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(四)日常安全检查制度；</w:t>
            </w:r>
          </w:p>
          <w:p>
            <w:pPr>
              <w:pStyle w:val="10"/>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(五)维护保养制度；</w:t>
            </w:r>
          </w:p>
          <w:p>
            <w:pPr>
              <w:pStyle w:val="10"/>
              <w:tabs>
                <w:tab w:val="left" w:pos="403"/>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(六)定期报检制度；</w:t>
            </w:r>
          </w:p>
          <w:p>
            <w:pPr>
              <w:pStyle w:val="10"/>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(七)作业和服务人员守则；</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w:t>
            </w:r>
            <w:r>
              <w:rPr>
                <w:rFonts w:ascii="Times New Roman" w:hAnsi="Times New Roman" w:cs="Times New Roman"/>
                <w:color w:val="auto"/>
                <w:sz w:val="18"/>
                <w:szCs w:val="18"/>
                <w:lang w:val="en-US" w:eastAsia="zh-CN" w:bidi="en-US"/>
              </w:rPr>
              <w:t>八</w:t>
            </w:r>
            <w:r>
              <w:rPr>
                <w:rFonts w:ascii="Times New Roman" w:hAnsi="Times New Roman" w:eastAsia="Times New Roman" w:cs="Times New Roman"/>
                <w:color w:val="auto"/>
                <w:sz w:val="18"/>
                <w:szCs w:val="18"/>
                <w:lang w:val="en-US" w:eastAsia="zh-CN" w:bidi="en-US"/>
              </w:rPr>
              <w:t>)</w:t>
            </w:r>
            <w:r>
              <w:rPr>
                <w:rFonts w:ascii="Times New Roman" w:hAnsi="Times New Roman" w:cs="Times New Roman"/>
                <w:color w:val="auto"/>
                <w:sz w:val="18"/>
                <w:szCs w:val="18"/>
              </w:rPr>
              <w:t>作业人员及相关运营服务人员安全培训考核制度；</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(九)应急救援演练制度；</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(十)意外事件和事故处理制度；</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(十一)其他。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73"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iCs/>
                <w:color w:val="auto"/>
                <w:sz w:val="18"/>
                <w:szCs w:val="18"/>
              </w:rPr>
              <w:t>运行条</w:t>
            </w:r>
            <w:r>
              <w:rPr>
                <w:rFonts w:ascii="Times New Roman" w:hAnsi="Times New Roman" w:cs="Times New Roman"/>
                <w:color w:val="auto"/>
                <w:sz w:val="18"/>
                <w:szCs w:val="18"/>
              </w:rPr>
              <w:t>件审查</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安全管理员</w:t>
            </w:r>
          </w:p>
        </w:tc>
        <w:tc>
          <w:tcPr>
            <w:tcW w:w="750"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156"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119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第三十四条</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运营使用单位应与场地提供单位签订安全管理协议，落实安全管理制度。场地提供单位应当核实运营使用单位满足相关法律法规要求的运营使用条件。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668" w:hRule="atLeas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技术档案管理</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安全管理员</w:t>
            </w:r>
          </w:p>
        </w:tc>
        <w:tc>
          <w:tcPr>
            <w:tcW w:w="7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每年至少一次</w:t>
            </w:r>
          </w:p>
        </w:tc>
        <w:tc>
          <w:tcPr>
            <w:tcW w:w="115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《大型游乐设施安全监察规定》(总局第</w:t>
            </w:r>
            <w:r>
              <w:rPr>
                <w:rFonts w:ascii="Times New Roman" w:hAnsi="Times New Roman" w:eastAsia="Times New Roman" w:cs="Times New Roman"/>
                <w:color w:val="auto"/>
                <w:sz w:val="18"/>
                <w:szCs w:val="18"/>
              </w:rPr>
              <w:t>154</w:t>
            </w:r>
            <w:r>
              <w:rPr>
                <w:rFonts w:ascii="Times New Roman" w:hAnsi="Times New Roman" w:cs="Times New Roman"/>
                <w:color w:val="auto"/>
                <w:sz w:val="18"/>
                <w:szCs w:val="18"/>
              </w:rPr>
              <w:t>号令)</w:t>
            </w:r>
          </w:p>
        </w:tc>
        <w:tc>
          <w:tcPr>
            <w:tcW w:w="119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第二十二条</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应对每台(套)大型游乐设施建立技术档案，依法管理和保存。技术档案应当包括以下主要内容：</w:t>
            </w:r>
          </w:p>
          <w:p>
            <w:pPr>
              <w:pStyle w:val="10"/>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(一)安装技术资料；</w:t>
            </w:r>
          </w:p>
          <w:p>
            <w:pPr>
              <w:pStyle w:val="10"/>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(二)监督检验报告；</w:t>
            </w:r>
          </w:p>
          <w:p>
            <w:pPr>
              <w:pStyle w:val="10"/>
              <w:tabs>
                <w:tab w:val="left" w:pos="403"/>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(三)使用登记表；</w:t>
            </w:r>
          </w:p>
          <w:p>
            <w:pPr>
              <w:pStyle w:val="10"/>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(四)改造、修理技术文件；</w:t>
            </w:r>
          </w:p>
          <w:p>
            <w:pPr>
              <w:pStyle w:val="10"/>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(五)年度自行检查的记录；</w:t>
            </w:r>
          </w:p>
          <w:p>
            <w:pPr>
              <w:pStyle w:val="10"/>
              <w:tabs>
                <w:tab w:val="left" w:pos="403"/>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(六)定期检验报告；</w:t>
            </w:r>
          </w:p>
          <w:p>
            <w:pPr>
              <w:pStyle w:val="10"/>
              <w:tabs>
                <w:tab w:val="left" w:pos="403"/>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(七)应急救援演练记录；</w:t>
            </w:r>
          </w:p>
          <w:p>
            <w:pPr>
              <w:pStyle w:val="10"/>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(八)运行、维护保养、设备故障与事故处理记录；</w:t>
            </w:r>
          </w:p>
          <w:p>
            <w:pPr>
              <w:pStyle w:val="10"/>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(九)作业人员培训、考核和证书管理记录；</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(十)法律法规规定的其他内容。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080"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人员配备与职责</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理人员</w:t>
            </w:r>
          </w:p>
        </w:tc>
        <w:tc>
          <w:tcPr>
            <w:tcW w:w="7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每年至</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少一次</w:t>
            </w:r>
          </w:p>
        </w:tc>
        <w:tc>
          <w:tcPr>
            <w:tcW w:w="115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《大型游乐设施安全监察规定》(总局第</w:t>
            </w:r>
            <w:r>
              <w:rPr>
                <w:rFonts w:ascii="Times New Roman" w:hAnsi="Times New Roman" w:eastAsia="Times New Roman" w:cs="Times New Roman"/>
                <w:color w:val="auto"/>
                <w:sz w:val="18"/>
                <w:szCs w:val="18"/>
              </w:rPr>
              <w:t>154</w:t>
            </w:r>
            <w:r>
              <w:rPr>
                <w:rFonts w:ascii="Times New Roman" w:hAnsi="Times New Roman" w:cs="Times New Roman"/>
                <w:color w:val="auto"/>
                <w:sz w:val="18"/>
                <w:szCs w:val="18"/>
              </w:rPr>
              <w:t>号令)</w:t>
            </w:r>
          </w:p>
        </w:tc>
        <w:tc>
          <w:tcPr>
            <w:tcW w:w="119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第二十八条</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应</w:t>
            </w:r>
            <w:r>
              <w:rPr>
                <w:rFonts w:ascii="Times New Roman" w:hAnsi="Times New Roman" w:cs="Times New Roman"/>
                <w:color w:val="auto"/>
                <w:sz w:val="18"/>
                <w:szCs w:val="18"/>
                <w:lang w:eastAsia="zh-CN"/>
              </w:rPr>
              <w:t>按照</w:t>
            </w:r>
            <w:r>
              <w:rPr>
                <w:rFonts w:ascii="Times New Roman" w:hAnsi="Times New Roman" w:cs="Times New Roman"/>
                <w:color w:val="auto"/>
                <w:sz w:val="18"/>
                <w:szCs w:val="18"/>
              </w:rPr>
              <w:t>安全技术规范和使用维护说明书要求，配备满足安全运营要求的持证操作人员，并加强对服务人员岗前</w:t>
            </w:r>
            <w:r>
              <w:rPr>
                <w:rFonts w:ascii="Times New Roman" w:hAnsi="Times New Roman" w:cs="Times New Roman"/>
                <w:color w:val="auto"/>
                <w:sz w:val="18"/>
                <w:szCs w:val="18"/>
                <w:lang w:eastAsia="zh-CN"/>
              </w:rPr>
              <w:t>培训教育</w:t>
            </w:r>
            <w:r>
              <w:rPr>
                <w:rFonts w:ascii="Times New Roman" w:hAnsi="Times New Roman" w:cs="Times New Roman"/>
                <w:color w:val="auto"/>
                <w:sz w:val="18"/>
                <w:szCs w:val="18"/>
              </w:rPr>
              <w:t>，使其掌握基本的应急技能，协助操作人员进行应急处置。</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操作人员应当履行以下职责：</w:t>
            </w:r>
          </w:p>
          <w:p>
            <w:pPr>
              <w:pStyle w:val="10"/>
              <w:tabs>
                <w:tab w:val="left" w:pos="41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(一)严格执行操作规程和操作人员守则；</w:t>
            </w:r>
          </w:p>
          <w:p>
            <w:pPr>
              <w:pStyle w:val="10"/>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(二)每次运行前应当向乘客告知安全注意事项，对保护乘客的安全装置进行检查确认；</w:t>
            </w:r>
          </w:p>
          <w:p>
            <w:pPr>
              <w:pStyle w:val="10"/>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(三)运行时应当密切注意乘客动态及设备运行状态，发现不正常情况，应当立即采取有效措施，消除隐患；</w:t>
            </w:r>
          </w:p>
          <w:p>
            <w:pPr>
              <w:pStyle w:val="10"/>
              <w:tabs>
                <w:tab w:val="left" w:pos="413"/>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(四)熟悉应急救援流程。发生故障或突发事件，应当立即停止运行或采取紧急措施保护乘客，并立即向现场安全管理人员报告；</w:t>
            </w:r>
          </w:p>
          <w:p>
            <w:pPr>
              <w:pStyle w:val="10"/>
              <w:tabs>
                <w:tab w:val="left" w:pos="413"/>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(五)如实记录设备的运行情况。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114"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设备维护要求</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理人员</w:t>
            </w:r>
          </w:p>
        </w:tc>
        <w:tc>
          <w:tcPr>
            <w:tcW w:w="7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使用单位自定</w:t>
            </w:r>
          </w:p>
        </w:tc>
        <w:tc>
          <w:tcPr>
            <w:tcW w:w="1156" w:type="dxa"/>
            <w:vMerge w:val="restart"/>
            <w:shd w:val="clear" w:color="auto" w:fill="FFFFFF"/>
            <w:noWrap/>
            <w:vAlign w:val="center"/>
          </w:tcPr>
          <w:p>
            <w:pPr>
              <w:pStyle w:val="10"/>
              <w:snapToGrid w:val="0"/>
              <w:spacing w:line="240" w:lineRule="auto"/>
              <w:rPr>
                <w:rFonts w:ascii="Times New Roman" w:hAnsi="Times New Roman" w:eastAsia="Times New Roman" w:cs="Times New Roman"/>
                <w:color w:val="auto"/>
                <w:sz w:val="18"/>
                <w:szCs w:val="18"/>
                <w:lang w:val="en-US" w:eastAsia="zh-CN" w:bidi="en-US"/>
              </w:rPr>
            </w:pPr>
            <w:r>
              <w:rPr>
                <w:rFonts w:ascii="Times New Roman" w:hAnsi="Times New Roman" w:cs="Times New Roman"/>
                <w:color w:val="auto"/>
                <w:sz w:val="18"/>
                <w:szCs w:val="18"/>
              </w:rPr>
              <w:t>《大型游乐设施安全监察规定》(总局第</w:t>
            </w:r>
            <w:r>
              <w:rPr>
                <w:rFonts w:ascii="Times New Roman" w:hAnsi="Times New Roman" w:eastAsia="Times New Roman" w:cs="Times New Roman"/>
                <w:color w:val="auto"/>
                <w:sz w:val="18"/>
                <w:szCs w:val="18"/>
              </w:rPr>
              <w:t>154</w:t>
            </w:r>
            <w:r>
              <w:rPr>
                <w:rFonts w:ascii="Times New Roman" w:hAnsi="Times New Roman" w:cs="Times New Roman"/>
                <w:color w:val="auto"/>
                <w:sz w:val="18"/>
                <w:szCs w:val="18"/>
              </w:rPr>
              <w:t>号令)</w:t>
            </w:r>
          </w:p>
        </w:tc>
        <w:tc>
          <w:tcPr>
            <w:tcW w:w="119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第二十三条</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运营使用单位应当按照安全技术规范和使用维护说明书的要求，开展设备运营前试运行检查、日常检查和维护保养、定期安全检查并如实记录。对日常维护保养和试运行检查等自行检查中发现的异常情况，应当及时处理。在国家法定节假日或举行大型群众性活动前，运营使用单位应当对大型游乐设施进行全面检查维护，并加强日常检查和安全值班。</w:t>
            </w:r>
          </w:p>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运营使用单位进行本单位设备的维护保养工作，应当按照安全技术规范要求配备具有相应资格的作业人员、必备工具和设备。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143"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应急管理</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要求</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理人员</w:t>
            </w:r>
          </w:p>
        </w:tc>
        <w:tc>
          <w:tcPr>
            <w:tcW w:w="7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每年至</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val="zh-CN" w:eastAsia="zh-CN" w:bidi="zh-CN"/>
              </w:rPr>
              <w:t>少一次</w:t>
            </w:r>
          </w:p>
        </w:tc>
        <w:tc>
          <w:tcPr>
            <w:tcW w:w="1156"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lang w:val="en-US" w:eastAsia="en-US" w:bidi="en-US"/>
              </w:rPr>
            </w:pPr>
          </w:p>
        </w:tc>
        <w:tc>
          <w:tcPr>
            <w:tcW w:w="119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第二十五条</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应制定应急预案，建立应急救援指挥机构，配备相应的救援人员、营救设备和急救物品。对每台(套)大型游乐设施应当制定专门的应急预案。</w:t>
            </w:r>
          </w:p>
          <w:p>
            <w:pPr>
              <w:pStyle w:val="10"/>
              <w:snapToGrid w:val="0"/>
              <w:spacing w:line="240" w:lineRule="auto"/>
              <w:rPr>
                <w:rFonts w:ascii="Times New Roman" w:hAnsi="Times New Roman" w:cs="Times New Roman"/>
                <w:color w:val="auto"/>
                <w:spacing w:val="-4"/>
                <w:sz w:val="18"/>
                <w:szCs w:val="18"/>
              </w:rPr>
            </w:pPr>
            <w:r>
              <w:rPr>
                <w:rFonts w:ascii="Times New Roman" w:hAnsi="Times New Roman" w:cs="Times New Roman"/>
                <w:color w:val="auto"/>
                <w:spacing w:val="-4"/>
                <w:sz w:val="18"/>
                <w:szCs w:val="18"/>
              </w:rPr>
              <w:t>应加强营救设备、急救物品的存放和管理，对救援人员定期进行专业培训。应定期对每台(套)大型游乐设施组织应急救援演练。</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可根据当地实际情况，与其他运营使用单位或公安消防等专业应急救援力量建立应急联动机制，制定联合应急预案，并定期进行联合演练。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00"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试运行和相应的安全检查</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理人员</w:t>
            </w:r>
          </w:p>
        </w:tc>
        <w:tc>
          <w:tcPr>
            <w:tcW w:w="7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每日投入运营前</w:t>
            </w:r>
          </w:p>
        </w:tc>
        <w:tc>
          <w:tcPr>
            <w:tcW w:w="1156" w:type="dxa"/>
            <w:vMerge w:val="restart"/>
            <w:shd w:val="clear" w:color="auto" w:fill="FFFFFF"/>
            <w:noWrap/>
            <w:vAlign w:val="center"/>
          </w:tcPr>
          <w:p>
            <w:pPr>
              <w:pStyle w:val="10"/>
              <w:snapToGrid w:val="0"/>
              <w:spacing w:line="240" w:lineRule="auto"/>
              <w:rPr>
                <w:rFonts w:ascii="Times New Roman" w:hAnsi="Times New Roman" w:cs="Times New Roman"/>
                <w:color w:val="auto"/>
                <w:sz w:val="18"/>
                <w:szCs w:val="18"/>
                <w:lang w:val="en-US" w:eastAsia="zh-CN" w:bidi="en-US"/>
              </w:rPr>
            </w:pPr>
            <w:r>
              <w:rPr>
                <w:rFonts w:ascii="Times New Roman" w:hAnsi="Times New Roman" w:cs="Times New Roman"/>
                <w:color w:val="auto"/>
                <w:sz w:val="18"/>
                <w:szCs w:val="18"/>
              </w:rPr>
              <w:t>游乐设施安全技术监察规程(试行)(国质检锅</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2003</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 xml:space="preserve">34 </w:t>
            </w:r>
            <w:r>
              <w:rPr>
                <w:rFonts w:ascii="Times New Roman" w:hAnsi="Times New Roman" w:cs="Times New Roman"/>
                <w:color w:val="auto"/>
                <w:sz w:val="18"/>
                <w:szCs w:val="18"/>
              </w:rPr>
              <w:t>号)</w:t>
            </w:r>
          </w:p>
        </w:tc>
        <w:tc>
          <w:tcPr>
            <w:tcW w:w="1191" w:type="dxa"/>
            <w:shd w:val="clear" w:color="auto" w:fill="FFFFFF"/>
            <w:noWrap/>
            <w:vAlign w:val="center"/>
          </w:tcPr>
          <w:p>
            <w:pPr>
              <w:pStyle w:val="10"/>
              <w:snapToGrid w:val="0"/>
              <w:spacing w:line="240" w:lineRule="auto"/>
              <w:jc w:val="center"/>
              <w:rPr>
                <w:rFonts w:ascii="Times New Roman" w:hAnsi="Times New Roman" w:eastAsia="Times New Roman" w:cs="Times New Roman"/>
                <w:color w:val="auto"/>
                <w:sz w:val="18"/>
                <w:szCs w:val="18"/>
                <w:lang w:val="en-US" w:eastAsia="en-US" w:bidi="en-US"/>
              </w:rPr>
            </w:pPr>
            <w:r>
              <w:rPr>
                <w:rFonts w:ascii="Times New Roman" w:hAnsi="Times New Roman" w:cs="Times New Roman"/>
                <w:color w:val="auto"/>
                <w:sz w:val="18"/>
                <w:szCs w:val="18"/>
              </w:rPr>
              <w:t>第四十五条</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游乐设施在每</w:t>
            </w:r>
            <w:r>
              <w:rPr>
                <w:rFonts w:ascii="Times New Roman" w:hAnsi="Times New Roman" w:cs="Times New Roman"/>
                <w:color w:val="auto"/>
                <w:sz w:val="18"/>
                <w:szCs w:val="18"/>
                <w:lang w:eastAsia="zh-CN"/>
              </w:rPr>
              <w:t>日</w:t>
            </w:r>
            <w:r>
              <w:rPr>
                <w:rFonts w:ascii="Times New Roman" w:hAnsi="Times New Roman" w:cs="Times New Roman"/>
                <w:color w:val="auto"/>
                <w:sz w:val="18"/>
                <w:szCs w:val="18"/>
              </w:rPr>
              <w:t>投入运营前，使用单位必须进行试运行，并记录检查情况。</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每次运行前，作业和服务人员必须向游客讲解安全注意事项，并对安全装置进行检查确认。运行中要注意游客动态,及时制止游客的危险行为。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46"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年检</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理人员</w:t>
            </w:r>
          </w:p>
        </w:tc>
        <w:tc>
          <w:tcPr>
            <w:tcW w:w="7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每年一次</w:t>
            </w:r>
          </w:p>
        </w:tc>
        <w:tc>
          <w:tcPr>
            <w:tcW w:w="1156"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c>
          <w:tcPr>
            <w:tcW w:w="1191" w:type="dxa"/>
            <w:vMerge w:val="restart"/>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第四十四条</w:t>
            </w:r>
          </w:p>
        </w:tc>
        <w:tc>
          <w:tcPr>
            <w:tcW w:w="9465" w:type="dxa"/>
            <w:vMerge w:val="restart"/>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使用单位应当严格执行游乐设施的年检、月检、日检制度，严禁带故障运行。安全检查的内容包括：</w:t>
            </w:r>
          </w:p>
          <w:p>
            <w:pPr>
              <w:pStyle w:val="10"/>
              <w:tabs>
                <w:tab w:val="left" w:pos="41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(一)对使用的游乐设施，每年要进行</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次全面检查，必要时要进行载荷试验，并按额定速度进行起升、运行、回转、变速等机构的安全技术性能检查。</w:t>
            </w:r>
          </w:p>
          <w:p>
            <w:pPr>
              <w:pStyle w:val="10"/>
              <w:tabs>
                <w:tab w:val="left" w:pos="40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(二)月检至少应检查下列项目：</w:t>
            </w:r>
          </w:p>
          <w:p>
            <w:pPr>
              <w:pStyle w:val="10"/>
              <w:numPr>
                <w:ilvl w:val="0"/>
                <w:numId w:val="50"/>
              </w:numPr>
              <w:tabs>
                <w:tab w:val="left" w:pos="20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各种安全装置；</w:t>
            </w:r>
          </w:p>
          <w:p>
            <w:pPr>
              <w:pStyle w:val="10"/>
              <w:numPr>
                <w:ilvl w:val="0"/>
                <w:numId w:val="50"/>
              </w:numPr>
              <w:tabs>
                <w:tab w:val="left" w:pos="20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动力装置、传动和制动系统；</w:t>
            </w:r>
          </w:p>
          <w:p>
            <w:pPr>
              <w:pStyle w:val="10"/>
              <w:numPr>
                <w:ilvl w:val="0"/>
                <w:numId w:val="50"/>
              </w:numPr>
              <w:tabs>
                <w:tab w:val="left" w:pos="19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绳索、链条和乘坐物；</w:t>
            </w:r>
          </w:p>
          <w:p>
            <w:pPr>
              <w:pStyle w:val="10"/>
              <w:numPr>
                <w:ilvl w:val="0"/>
                <w:numId w:val="50"/>
              </w:numPr>
              <w:tabs>
                <w:tab w:val="left" w:pos="20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控制电路与电气元件；</w:t>
            </w:r>
          </w:p>
          <w:p>
            <w:pPr>
              <w:pStyle w:val="10"/>
              <w:numPr>
                <w:ilvl w:val="0"/>
                <w:numId w:val="50"/>
              </w:numPr>
              <w:tabs>
                <w:tab w:val="left" w:pos="19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备用电源。</w:t>
            </w:r>
          </w:p>
          <w:p>
            <w:pPr>
              <w:pStyle w:val="10"/>
              <w:tabs>
                <w:tab w:val="left" w:pos="44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(三)日检至少应检查下列项目：</w:t>
            </w:r>
          </w:p>
          <w:p>
            <w:pPr>
              <w:pStyle w:val="10"/>
              <w:numPr>
                <w:ilvl w:val="0"/>
                <w:numId w:val="51"/>
              </w:numPr>
              <w:tabs>
                <w:tab w:val="left" w:pos="19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控制装置、限速装置、制动装置和其他安全装置是否有效及可靠；</w:t>
            </w:r>
          </w:p>
          <w:p>
            <w:pPr>
              <w:pStyle w:val="10"/>
              <w:numPr>
                <w:ilvl w:val="0"/>
                <w:numId w:val="51"/>
              </w:numPr>
              <w:tabs>
                <w:tab w:val="left" w:pos="20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运行是否正常，有无异常的振动或者噪声；</w:t>
            </w:r>
          </w:p>
          <w:p>
            <w:pPr>
              <w:pStyle w:val="10"/>
              <w:numPr>
                <w:ilvl w:val="0"/>
                <w:numId w:val="51"/>
              </w:numPr>
              <w:tabs>
                <w:tab w:val="left" w:pos="19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各易磨损件状况；</w:t>
            </w:r>
          </w:p>
          <w:p>
            <w:pPr>
              <w:pStyle w:val="10"/>
              <w:numPr>
                <w:ilvl w:val="0"/>
                <w:numId w:val="51"/>
              </w:numPr>
              <w:tabs>
                <w:tab w:val="left" w:pos="21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门联锁开关及安全带等是否完好；</w:t>
            </w:r>
          </w:p>
          <w:p>
            <w:pPr>
              <w:pStyle w:val="10"/>
              <w:numPr>
                <w:ilvl w:val="0"/>
                <w:numId w:val="51"/>
              </w:numPr>
              <w:tabs>
                <w:tab w:val="left" w:pos="20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润滑点的检查和加添润滑油；</w:t>
            </w:r>
          </w:p>
          <w:p>
            <w:pPr>
              <w:pStyle w:val="10"/>
              <w:numPr>
                <w:ilvl w:val="0"/>
                <w:numId w:val="51"/>
              </w:numPr>
              <w:tabs>
                <w:tab w:val="left" w:pos="20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重要部位(轨道、车轮等)是否正常。检查应当做详细记录，并存档备查。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699"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月检</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理人员</w:t>
            </w:r>
          </w:p>
        </w:tc>
        <w:tc>
          <w:tcPr>
            <w:tcW w:w="7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每月一次</w:t>
            </w:r>
          </w:p>
        </w:tc>
        <w:tc>
          <w:tcPr>
            <w:tcW w:w="1156"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c>
          <w:tcPr>
            <w:tcW w:w="119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465"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088"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日检</w:t>
            </w:r>
          </w:p>
        </w:tc>
        <w:tc>
          <w:tcPr>
            <w:tcW w:w="659" w:type="dxa"/>
            <w:shd w:val="clear" w:color="auto" w:fill="FFFFFF"/>
            <w:noWrap/>
            <w:vAlign w:val="center"/>
          </w:tcPr>
          <w:p>
            <w:pPr>
              <w:pStyle w:val="10"/>
              <w:snapToGrid w:val="0"/>
              <w:spacing w:line="240" w:lineRule="auto"/>
              <w:ind w:left="240" w:leftChars="75"/>
              <w:jc w:val="center"/>
              <w:rPr>
                <w:rFonts w:ascii="Times New Roman" w:hAnsi="Times New Roman" w:cs="Times New Roman"/>
                <w:color w:val="auto"/>
                <w:sz w:val="18"/>
                <w:szCs w:val="18"/>
              </w:rPr>
            </w:pPr>
            <w:r>
              <w:rPr>
                <w:rFonts w:ascii="Times New Roman" w:hAnsi="Times New Roman" w:cs="Times New Roman"/>
                <w:color w:val="auto"/>
                <w:sz w:val="18"/>
                <w:szCs w:val="18"/>
              </w:rPr>
              <w:t>使用单位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安全管</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理人员</w:t>
            </w:r>
          </w:p>
        </w:tc>
        <w:tc>
          <w:tcPr>
            <w:tcW w:w="7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w:t>
            </w:r>
            <w:r>
              <w:rPr>
                <w:rFonts w:ascii="Times New Roman" w:hAnsi="Times New Roman" w:cs="Times New Roman"/>
                <w:color w:val="auto"/>
                <w:sz w:val="18"/>
                <w:szCs w:val="18"/>
                <w:lang w:eastAsia="zh-CN"/>
              </w:rPr>
              <w:t>天</w:t>
            </w:r>
            <w:r>
              <w:rPr>
                <w:rFonts w:ascii="Times New Roman" w:hAnsi="Times New Roman" w:cs="Times New Roman"/>
                <w:color w:val="auto"/>
                <w:sz w:val="18"/>
                <w:szCs w:val="18"/>
              </w:rPr>
              <w:t>一次</w:t>
            </w:r>
          </w:p>
        </w:tc>
        <w:tc>
          <w:tcPr>
            <w:tcW w:w="1156"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c>
          <w:tcPr>
            <w:tcW w:w="1191" w:type="dxa"/>
            <w:vMerge w:val="continue"/>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p>
        </w:tc>
        <w:tc>
          <w:tcPr>
            <w:tcW w:w="9465"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90"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验收检验和定期检验</w:t>
            </w:r>
          </w:p>
        </w:tc>
        <w:tc>
          <w:tcPr>
            <w:tcW w:w="659" w:type="dxa"/>
            <w:shd w:val="clear" w:color="auto" w:fill="FFFFFF"/>
            <w:noWrap/>
            <w:vAlign w:val="center"/>
          </w:tcPr>
          <w:p>
            <w:pPr>
              <w:pStyle w:val="10"/>
              <w:snapToGrid w:val="0"/>
              <w:spacing w:line="240" w:lineRule="auto"/>
              <w:ind w:firstLine="180" w:firstLineChars="100"/>
              <w:jc w:val="center"/>
              <w:rPr>
                <w:rFonts w:ascii="Times New Roman" w:hAnsi="Times New Roman" w:cs="Times New Roman"/>
                <w:color w:val="auto"/>
                <w:sz w:val="18"/>
                <w:szCs w:val="18"/>
              </w:rPr>
            </w:pPr>
            <w:r>
              <w:rPr>
                <w:rFonts w:ascii="Times New Roman" w:hAnsi="Times New Roman" w:cs="Times New Roman"/>
                <w:color w:val="auto"/>
                <w:sz w:val="18"/>
                <w:szCs w:val="18"/>
              </w:rPr>
              <w:t>检验</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机构</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有资质</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检验人员</w:t>
            </w:r>
          </w:p>
        </w:tc>
        <w:tc>
          <w:tcPr>
            <w:tcW w:w="7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根据上</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次检验</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报告</w:t>
            </w:r>
          </w:p>
        </w:tc>
        <w:tc>
          <w:tcPr>
            <w:tcW w:w="1156"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c>
          <w:tcPr>
            <w:tcW w:w="119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第三十七条</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A</w:t>
            </w:r>
            <w:r>
              <w:rPr>
                <w:rFonts w:ascii="Times New Roman" w:hAnsi="Times New Roman" w:cs="Times New Roman"/>
                <w:color w:val="auto"/>
                <w:sz w:val="18"/>
                <w:szCs w:val="18"/>
              </w:rPr>
              <w:t>级游乐设施，由国家游乐设施监督检验机构进行验收检验和定期检验。</w:t>
            </w:r>
          </w:p>
          <w:p>
            <w:pPr>
              <w:pStyle w:val="10"/>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zh-CN" w:bidi="en-US"/>
              </w:rPr>
              <w:t>B</w:t>
            </w:r>
            <w:r>
              <w:rPr>
                <w:rFonts w:ascii="Times New Roman" w:hAnsi="Times New Roman" w:cs="Times New Roman"/>
                <w:color w:val="auto"/>
                <w:sz w:val="18"/>
                <w:szCs w:val="18"/>
              </w:rPr>
              <w:t>级和</w:t>
            </w:r>
            <w:r>
              <w:rPr>
                <w:rFonts w:ascii="Times New Roman" w:hAnsi="Times New Roman" w:eastAsia="Times New Roman" w:cs="Times New Roman"/>
                <w:color w:val="auto"/>
                <w:sz w:val="18"/>
                <w:szCs w:val="18"/>
                <w:lang w:val="en-US" w:eastAsia="zh-CN" w:bidi="en-US"/>
              </w:rPr>
              <w:t>C</w:t>
            </w:r>
            <w:r>
              <w:rPr>
                <w:rFonts w:ascii="Times New Roman" w:hAnsi="Times New Roman" w:cs="Times New Roman"/>
                <w:color w:val="auto"/>
                <w:sz w:val="18"/>
                <w:szCs w:val="18"/>
              </w:rPr>
              <w:t>级游乐设施，由所在地区经国家特种设备安全监察机构授权的监督检验机构进行验收检验和定期检验。</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首台(套)游乐设施的型式试验与验收检验由国家游乐设施监督检验机构一并进行。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22"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定期检验</w:t>
            </w:r>
          </w:p>
        </w:tc>
        <w:tc>
          <w:tcPr>
            <w:tcW w:w="659" w:type="dxa"/>
            <w:shd w:val="clear" w:color="auto" w:fill="FFFFFF"/>
            <w:noWrap/>
            <w:vAlign w:val="center"/>
          </w:tcPr>
          <w:p>
            <w:pPr>
              <w:pStyle w:val="10"/>
              <w:snapToGrid w:val="0"/>
              <w:spacing w:line="240" w:lineRule="auto"/>
              <w:ind w:firstLine="180" w:firstLineChars="100"/>
              <w:jc w:val="center"/>
              <w:rPr>
                <w:rFonts w:ascii="Times New Roman" w:hAnsi="Times New Roman" w:cs="Times New Roman"/>
                <w:color w:val="auto"/>
                <w:sz w:val="18"/>
                <w:szCs w:val="18"/>
              </w:rPr>
            </w:pPr>
            <w:r>
              <w:rPr>
                <w:rFonts w:ascii="Times New Roman" w:hAnsi="Times New Roman" w:cs="Times New Roman"/>
                <w:color w:val="auto"/>
                <w:sz w:val="18"/>
                <w:szCs w:val="18"/>
              </w:rPr>
              <w:t>检验</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机构</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有资质检验人员</w:t>
            </w:r>
          </w:p>
        </w:tc>
        <w:tc>
          <w:tcPr>
            <w:tcW w:w="7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根据上</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次检验</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报告</w:t>
            </w:r>
          </w:p>
        </w:tc>
        <w:tc>
          <w:tcPr>
            <w:tcW w:w="1156"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大型游乐设施安全监察规定</w:t>
            </w:r>
          </w:p>
        </w:tc>
        <w:tc>
          <w:tcPr>
            <w:tcW w:w="119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第二十条</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运营使用单位应当在大型游乐设施安装监督检验完成后</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年内，向特种设备检验机构提出首次定期检验申请</w:t>
            </w:r>
            <w:r>
              <w:rPr>
                <w:rFonts w:ascii="Times New Roman" w:hAnsi="Times New Roman" w:cs="Times New Roman"/>
                <w:color w:val="auto"/>
                <w:sz w:val="18"/>
                <w:szCs w:val="18"/>
                <w:lang w:eastAsia="zh-CN"/>
              </w:rPr>
              <w:t>；</w:t>
            </w:r>
            <w:r>
              <w:rPr>
                <w:rFonts w:ascii="Times New Roman" w:hAnsi="Times New Roman" w:cs="Times New Roman"/>
                <w:color w:val="auto"/>
                <w:sz w:val="18"/>
                <w:szCs w:val="18"/>
              </w:rPr>
              <w:t>在大型游乐设施定期检验周期届满</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个月前，运营使用单位应当向特种设备检验机构提出定期检验要求。</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特种设备检验机构应当按照安全技术规范的要求进行定期检验。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20"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日常巡查</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作业</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人员</w:t>
            </w:r>
          </w:p>
        </w:tc>
        <w:tc>
          <w:tcPr>
            <w:tcW w:w="7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每日一次</w:t>
            </w:r>
          </w:p>
        </w:tc>
        <w:tc>
          <w:tcPr>
            <w:tcW w:w="1156" w:type="dxa"/>
            <w:shd w:val="clear" w:color="auto" w:fill="FFFFFF"/>
            <w:noWrap/>
            <w:vAlign w:val="center"/>
          </w:tcPr>
          <w:p>
            <w:pPr>
              <w:pStyle w:val="10"/>
              <w:snapToGrid w:val="0"/>
              <w:spacing w:line="240" w:lineRule="auto"/>
              <w:jc w:val="center"/>
              <w:rPr>
                <w:rFonts w:ascii="Times New Roman" w:hAnsi="Times New Roman" w:eastAsia="Times New Roman" w:cs="Times New Roman"/>
                <w:color w:val="auto"/>
                <w:sz w:val="18"/>
                <w:szCs w:val="18"/>
                <w:lang w:val="en-US" w:eastAsia="zh-CN" w:bidi="en-US"/>
              </w:rPr>
            </w:pPr>
            <w:r>
              <w:rPr>
                <w:rFonts w:ascii="Times New Roman" w:hAnsi="Times New Roman" w:eastAsia="Times New Roman" w:cs="Times New Roman"/>
                <w:color w:val="auto"/>
                <w:sz w:val="18"/>
                <w:szCs w:val="18"/>
                <w:lang w:val="en-US" w:eastAsia="zh-CN" w:bidi="en-US"/>
              </w:rPr>
              <w:t>——</w:t>
            </w:r>
          </w:p>
        </w:tc>
        <w:tc>
          <w:tcPr>
            <w:tcW w:w="1191"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eastAsia="Times New Roman" w:cs="Times New Roman"/>
                <w:color w:val="auto"/>
                <w:sz w:val="18"/>
                <w:szCs w:val="18"/>
                <w:lang w:val="en-US" w:eastAsia="zh-CN" w:bidi="en-US"/>
              </w:rPr>
              <w:t>——</w:t>
            </w:r>
          </w:p>
        </w:tc>
        <w:tc>
          <w:tcPr>
            <w:tcW w:w="9465"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见附表1。</w:t>
            </w:r>
          </w:p>
        </w:tc>
      </w:tr>
    </w:tbl>
    <w:p>
      <w:pPr>
        <w:snapToGrid w:val="0"/>
        <w:spacing w:line="20" w:lineRule="exact"/>
        <w:rPr>
          <w:rFonts w:ascii="Times New Roman" w:hAnsi="Times New Roman" w:cs="Times New Roman"/>
          <w:color w:val="auto"/>
          <w:sz w:val="18"/>
          <w:szCs w:val="18"/>
        </w:rPr>
      </w:pPr>
    </w:p>
    <w:p>
      <w:pPr>
        <w:pStyle w:val="9"/>
        <w:snapToGrid w:val="0"/>
        <w:spacing w:line="240" w:lineRule="auto"/>
        <w:rPr>
          <w:rFonts w:ascii="Times New Roman" w:hAnsi="Times New Roman" w:cs="Times New Roman"/>
          <w:color w:val="auto"/>
          <w:sz w:val="18"/>
          <w:szCs w:val="18"/>
          <w:lang w:eastAsia="zh-CN"/>
        </w:rPr>
        <w:sectPr>
          <w:headerReference r:id="rId34" w:type="first"/>
          <w:footerReference r:id="rId36" w:type="first"/>
          <w:headerReference r:id="rId32" w:type="default"/>
          <w:headerReference r:id="rId33" w:type="even"/>
          <w:footerReference r:id="rId35" w:type="even"/>
          <w:pgSz w:w="16840" w:h="11900" w:orient="landscape"/>
          <w:pgMar w:top="1134" w:right="1134" w:bottom="1560" w:left="1134" w:header="851" w:footer="851" w:gutter="0"/>
          <w:pgNumType w:fmt="numberInDash"/>
          <w:cols w:space="720" w:num="1"/>
          <w:docGrid w:linePitch="360" w:charSpace="0"/>
        </w:sectPr>
      </w:pPr>
    </w:p>
    <w:p>
      <w:pPr>
        <w:pStyle w:val="10"/>
        <w:snapToGrid w:val="0"/>
        <w:spacing w:line="240" w:lineRule="auto"/>
        <w:jc w:val="center"/>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附表1  大型游乐设施日常巡查内容</w:t>
      </w:r>
    </w:p>
    <w:p>
      <w:pPr>
        <w:pStyle w:val="9"/>
        <w:snapToGrid w:val="0"/>
        <w:spacing w:line="240" w:lineRule="auto"/>
        <w:jc w:val="center"/>
        <w:rPr>
          <w:rFonts w:ascii="Times New Roman" w:hAnsi="Times New Roman" w:eastAsia="黑体" w:cs="Times New Roman"/>
          <w:b/>
          <w:color w:val="auto"/>
          <w:sz w:val="21"/>
          <w:szCs w:val="21"/>
          <w:lang w:val="en-US" w:eastAsia="zh-CN" w:bidi="ar-SA"/>
        </w:rPr>
      </w:pPr>
    </w:p>
    <w:tbl>
      <w:tblPr>
        <w:tblStyle w:val="8"/>
        <w:tblW w:w="917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643"/>
        <w:gridCol w:w="970"/>
        <w:gridCol w:w="75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5" w:hRule="exact"/>
          <w:jc w:val="center"/>
        </w:trPr>
        <w:tc>
          <w:tcPr>
            <w:tcW w:w="643" w:type="dxa"/>
            <w:shd w:val="clear" w:color="auto" w:fill="FFFFFF"/>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序号</w:t>
            </w:r>
          </w:p>
        </w:tc>
        <w:tc>
          <w:tcPr>
            <w:tcW w:w="970" w:type="dxa"/>
            <w:shd w:val="clear" w:color="auto" w:fill="FFFFFF"/>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巡查项目</w:t>
            </w:r>
          </w:p>
        </w:tc>
        <w:tc>
          <w:tcPr>
            <w:tcW w:w="7562" w:type="dxa"/>
            <w:shd w:val="clear" w:color="auto" w:fill="FFFFFF"/>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巡查内容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262" w:hRule="exact"/>
          <w:jc w:val="center"/>
        </w:trPr>
        <w:tc>
          <w:tcPr>
            <w:tcW w:w="64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1</w:t>
            </w:r>
          </w:p>
        </w:tc>
        <w:tc>
          <w:tcPr>
            <w:tcW w:w="97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通道</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检查</w:t>
            </w:r>
          </w:p>
        </w:tc>
        <w:tc>
          <w:tcPr>
            <w:tcW w:w="7562" w:type="dxa"/>
            <w:shd w:val="clear" w:color="auto" w:fill="FFFFFF"/>
            <w:noWrap/>
            <w:vAlign w:val="center"/>
          </w:tcPr>
          <w:p>
            <w:pPr>
              <w:pStyle w:val="10"/>
              <w:numPr>
                <w:ilvl w:val="0"/>
                <w:numId w:val="52"/>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检查地面的防滑地毯是否有明显破损；</w:t>
            </w:r>
          </w:p>
          <w:p>
            <w:pPr>
              <w:pStyle w:val="10"/>
              <w:numPr>
                <w:ilvl w:val="0"/>
                <w:numId w:val="52"/>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检查通道指示标志有无缺损；</w:t>
            </w:r>
          </w:p>
          <w:p>
            <w:pPr>
              <w:pStyle w:val="10"/>
              <w:numPr>
                <w:ilvl w:val="0"/>
                <w:numId w:val="52"/>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检查通道沿线外露电缆有无显见异常；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347" w:hRule="exact"/>
          <w:jc w:val="center"/>
        </w:trPr>
        <w:tc>
          <w:tcPr>
            <w:tcW w:w="64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2</w:t>
            </w:r>
          </w:p>
        </w:tc>
        <w:tc>
          <w:tcPr>
            <w:tcW w:w="97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安全</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栅栏</w:t>
            </w:r>
          </w:p>
        </w:tc>
        <w:tc>
          <w:tcPr>
            <w:tcW w:w="7562" w:type="dxa"/>
            <w:shd w:val="clear" w:color="auto" w:fill="FFFFFF"/>
            <w:noWrap/>
            <w:vAlign w:val="center"/>
          </w:tcPr>
          <w:p>
            <w:pPr>
              <w:pStyle w:val="10"/>
              <w:numPr>
                <w:ilvl w:val="0"/>
                <w:numId w:val="53"/>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检查栏杆支撑有无松动；</w:t>
            </w:r>
          </w:p>
          <w:p>
            <w:pPr>
              <w:pStyle w:val="10"/>
              <w:numPr>
                <w:ilvl w:val="0"/>
                <w:numId w:val="53"/>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检查栏杆表面有无破损：</w:t>
            </w:r>
          </w:p>
          <w:p>
            <w:pPr>
              <w:pStyle w:val="10"/>
              <w:numPr>
                <w:ilvl w:val="0"/>
                <w:numId w:val="53"/>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检查端部球形封堵有无撕裂、缺失；</w:t>
            </w:r>
          </w:p>
          <w:p>
            <w:pPr>
              <w:pStyle w:val="10"/>
              <w:numPr>
                <w:ilvl w:val="0"/>
                <w:numId w:val="53"/>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检查门铰链有无变形、脱落；</w:t>
            </w:r>
          </w:p>
          <w:p>
            <w:pPr>
              <w:pStyle w:val="10"/>
              <w:numPr>
                <w:ilvl w:val="0"/>
                <w:numId w:val="53"/>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检查活动间隙是否发生改变而导致可能夹手；</w:t>
            </w:r>
          </w:p>
          <w:p>
            <w:pPr>
              <w:pStyle w:val="10"/>
              <w:numPr>
                <w:ilvl w:val="0"/>
                <w:numId w:val="53"/>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检查悬挂的安全标志是否有缺损；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805" w:hRule="exact"/>
          <w:jc w:val="center"/>
        </w:trPr>
        <w:tc>
          <w:tcPr>
            <w:tcW w:w="64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3</w:t>
            </w:r>
          </w:p>
        </w:tc>
        <w:tc>
          <w:tcPr>
            <w:tcW w:w="97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座席</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检查</w:t>
            </w:r>
          </w:p>
        </w:tc>
        <w:tc>
          <w:tcPr>
            <w:tcW w:w="7562" w:type="dxa"/>
            <w:shd w:val="clear" w:color="auto" w:fill="FFFFFF"/>
            <w:noWrap/>
            <w:vAlign w:val="center"/>
          </w:tcPr>
          <w:p>
            <w:pPr>
              <w:pStyle w:val="10"/>
              <w:numPr>
                <w:ilvl w:val="0"/>
                <w:numId w:val="54"/>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检查安全把手有无松动；</w:t>
            </w:r>
          </w:p>
          <w:p>
            <w:pPr>
              <w:pStyle w:val="10"/>
              <w:numPr>
                <w:ilvl w:val="0"/>
                <w:numId w:val="54"/>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检查玻璃钢座席面有无破损、开裂；</w:t>
            </w:r>
          </w:p>
          <w:p>
            <w:pPr>
              <w:pStyle w:val="10"/>
              <w:numPr>
                <w:ilvl w:val="0"/>
                <w:numId w:val="54"/>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检查座席处有无其他可能伤及游客的危险突出物；</w:t>
            </w:r>
          </w:p>
          <w:p>
            <w:pPr>
              <w:pStyle w:val="10"/>
              <w:numPr>
                <w:ilvl w:val="0"/>
                <w:numId w:val="54"/>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检查脚踏防滑面的防滑效果；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262" w:hRule="exact"/>
          <w:jc w:val="center"/>
        </w:trPr>
        <w:tc>
          <w:tcPr>
            <w:tcW w:w="64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4</w:t>
            </w:r>
          </w:p>
        </w:tc>
        <w:tc>
          <w:tcPr>
            <w:tcW w:w="97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末端</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驱动</w:t>
            </w:r>
          </w:p>
        </w:tc>
        <w:tc>
          <w:tcPr>
            <w:tcW w:w="7562" w:type="dxa"/>
            <w:shd w:val="clear" w:color="auto" w:fill="FFFFFF"/>
            <w:noWrap/>
            <w:vAlign w:val="center"/>
          </w:tcPr>
          <w:p>
            <w:pPr>
              <w:pStyle w:val="10"/>
              <w:numPr>
                <w:ilvl w:val="0"/>
                <w:numId w:val="55"/>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检查曲柄螺钉有无松脱迹象，必要时工具确认；</w:t>
            </w:r>
          </w:p>
          <w:p>
            <w:pPr>
              <w:pStyle w:val="10"/>
              <w:numPr>
                <w:ilvl w:val="0"/>
                <w:numId w:val="55"/>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检查润滑油有无溢出(滴落至座席)；</w:t>
            </w:r>
          </w:p>
          <w:p>
            <w:pPr>
              <w:pStyle w:val="10"/>
              <w:numPr>
                <w:ilvl w:val="0"/>
                <w:numId w:val="55"/>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检查运行是否平稳、有无异常声响；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262" w:hRule="exact"/>
          <w:jc w:val="center"/>
        </w:trPr>
        <w:tc>
          <w:tcPr>
            <w:tcW w:w="64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5</w:t>
            </w:r>
          </w:p>
        </w:tc>
        <w:tc>
          <w:tcPr>
            <w:tcW w:w="97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扩音器</w:t>
            </w:r>
          </w:p>
        </w:tc>
        <w:tc>
          <w:tcPr>
            <w:tcW w:w="7562" w:type="dxa"/>
            <w:shd w:val="clear" w:color="auto" w:fill="FFFFFF"/>
            <w:noWrap/>
            <w:vAlign w:val="center"/>
          </w:tcPr>
          <w:p>
            <w:pPr>
              <w:pStyle w:val="10"/>
              <w:numPr>
                <w:ilvl w:val="0"/>
                <w:numId w:val="56"/>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逐个检查手持装置的电池电量是否充足；</w:t>
            </w:r>
          </w:p>
          <w:p>
            <w:pPr>
              <w:pStyle w:val="10"/>
              <w:numPr>
                <w:ilvl w:val="0"/>
                <w:numId w:val="56"/>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检查功放端音量调节、音效是否正常；</w:t>
            </w:r>
          </w:p>
          <w:p>
            <w:pPr>
              <w:pStyle w:val="10"/>
              <w:numPr>
                <w:ilvl w:val="0"/>
                <w:numId w:val="56"/>
              </w:numPr>
              <w:tabs>
                <w:tab w:val="left" w:pos="240"/>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检查备用的手持扩音器是否完好,能正常工作；</w:t>
            </w:r>
          </w:p>
        </w:tc>
      </w:tr>
    </w:tbl>
    <w:p>
      <w:pPr>
        <w:pStyle w:val="9"/>
        <w:snapToGrid w:val="0"/>
        <w:spacing w:line="240" w:lineRule="auto"/>
        <w:rPr>
          <w:rFonts w:ascii="Times New Roman" w:hAnsi="Times New Roman" w:cs="Times New Roman"/>
          <w:color w:val="auto"/>
          <w:sz w:val="18"/>
          <w:szCs w:val="18"/>
          <w:lang w:eastAsia="zh-CN"/>
        </w:rPr>
        <w:sectPr>
          <w:pgSz w:w="11900" w:h="16840"/>
          <w:pgMar w:top="1134" w:right="1560" w:bottom="1134" w:left="1134" w:header="851" w:footer="851" w:gutter="0"/>
          <w:pgNumType w:fmt="numberInDash"/>
          <w:cols w:space="720" w:num="1"/>
          <w:docGrid w:linePitch="360" w:charSpace="0"/>
        </w:sectPr>
      </w:pPr>
    </w:p>
    <w:p>
      <w:pPr>
        <w:pStyle w:val="14"/>
        <w:snapToGrid w:val="0"/>
        <w:rPr>
          <w:rFonts w:ascii="Times New Roman" w:hAnsi="Times New Roman" w:cs="Times New Roman"/>
          <w:color w:val="auto"/>
          <w:sz w:val="18"/>
          <w:szCs w:val="18"/>
          <w:lang w:val="zh-TW" w:bidi="zh-TW"/>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 w:val="0"/>
          <w:bCs/>
          <w:color w:val="auto"/>
          <w:kern w:val="2"/>
          <w:sz w:val="32"/>
          <w:szCs w:val="32"/>
          <w:lang w:val="zh-TW" w:eastAsia="zh-CN" w:bidi="zh-TW"/>
        </w:rPr>
      </w:pPr>
      <w:r>
        <w:rPr>
          <w:rFonts w:hint="eastAsia" w:ascii="方正小标宋简体" w:hAnsi="方正小标宋简体" w:eastAsia="方正小标宋简体" w:cs="方正小标宋简体"/>
          <w:b w:val="0"/>
          <w:bCs/>
          <w:color w:val="auto"/>
          <w:kern w:val="2"/>
          <w:sz w:val="32"/>
          <w:szCs w:val="32"/>
          <w:lang w:val="en-US" w:eastAsia="zh-CN" w:bidi="zh-TW"/>
        </w:rPr>
        <w:t xml:space="preserve">表B.14  </w:t>
      </w:r>
      <w:r>
        <w:rPr>
          <w:rFonts w:hint="eastAsia" w:ascii="方正小标宋简体" w:hAnsi="方正小标宋简体" w:eastAsia="方正小标宋简体" w:cs="方正小标宋简体"/>
          <w:b w:val="0"/>
          <w:bCs/>
          <w:color w:val="auto"/>
          <w:kern w:val="2"/>
          <w:sz w:val="32"/>
          <w:szCs w:val="32"/>
          <w:lang w:val="zh-TW" w:eastAsia="zh-TW" w:bidi="zh-TW"/>
        </w:rPr>
        <w:t>特种设备</w:t>
      </w:r>
      <w:r>
        <w:rPr>
          <w:rFonts w:hint="eastAsia" w:ascii="方正小标宋简体" w:hAnsi="方正小标宋简体" w:eastAsia="方正小标宋简体" w:cs="方正小标宋简体"/>
          <w:b w:val="0"/>
          <w:bCs/>
          <w:color w:val="auto"/>
          <w:kern w:val="2"/>
          <w:sz w:val="32"/>
          <w:szCs w:val="32"/>
          <w:lang w:val="zh-TW" w:eastAsia="zh-CN" w:bidi="zh-TW"/>
        </w:rPr>
        <w:t>隐患排查清单——场(厂)内专用机动车辆专项要求</w:t>
      </w:r>
    </w:p>
    <w:p>
      <w:pPr>
        <w:pStyle w:val="9"/>
        <w:snapToGrid w:val="0"/>
        <w:spacing w:line="240" w:lineRule="auto"/>
        <w:jc w:val="center"/>
        <w:rPr>
          <w:rFonts w:ascii="Times New Roman" w:hAnsi="Times New Roman" w:cs="Times New Roman"/>
          <w:color w:val="auto"/>
          <w:sz w:val="18"/>
          <w:szCs w:val="18"/>
          <w:lang w:eastAsia="zh-CN"/>
        </w:rPr>
      </w:pPr>
    </w:p>
    <w:tbl>
      <w:tblPr>
        <w:tblStyle w:val="8"/>
        <w:tblW w:w="1496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004"/>
        <w:gridCol w:w="659"/>
        <w:gridCol w:w="738"/>
        <w:gridCol w:w="750"/>
        <w:gridCol w:w="1014"/>
        <w:gridCol w:w="993"/>
        <w:gridCol w:w="98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51" w:hRule="exact"/>
          <w:tblHeader/>
          <w:jc w:val="center"/>
        </w:trPr>
        <w:tc>
          <w:tcPr>
            <w:tcW w:w="1004"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排查内容</w:t>
            </w:r>
          </w:p>
        </w:tc>
        <w:tc>
          <w:tcPr>
            <w:tcW w:w="659"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实施</w:t>
            </w:r>
          </w:p>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单位</w:t>
            </w:r>
          </w:p>
        </w:tc>
        <w:tc>
          <w:tcPr>
            <w:tcW w:w="738"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排查人</w:t>
            </w:r>
          </w:p>
        </w:tc>
        <w:tc>
          <w:tcPr>
            <w:tcW w:w="750"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rPr>
              <w:t>排查</w:t>
            </w:r>
          </w:p>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时间</w:t>
            </w:r>
          </w:p>
        </w:tc>
        <w:tc>
          <w:tcPr>
            <w:tcW w:w="2007" w:type="dxa"/>
            <w:gridSpan w:val="2"/>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排查依据</w:t>
            </w:r>
          </w:p>
        </w:tc>
        <w:tc>
          <w:tcPr>
            <w:tcW w:w="9805" w:type="dxa"/>
            <w:vMerge w:val="restart"/>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排查要求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97" w:hRule="exact"/>
          <w:tblHeader/>
          <w:jc w:val="center"/>
        </w:trPr>
        <w:tc>
          <w:tcPr>
            <w:tcW w:w="1004"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659"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738"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750" w:type="dxa"/>
            <w:vMerge w:val="continue"/>
            <w:shd w:val="clear" w:color="auto" w:fill="FFFFFF"/>
            <w:noWrap/>
            <w:vAlign w:val="center"/>
          </w:tcPr>
          <w:p>
            <w:pPr>
              <w:snapToGrid w:val="0"/>
              <w:jc w:val="center"/>
              <w:rPr>
                <w:rFonts w:ascii="Times New Roman" w:hAnsi="Times New Roman" w:cs="Times New Roman"/>
                <w:color w:val="auto"/>
                <w:sz w:val="18"/>
                <w:szCs w:val="18"/>
              </w:rPr>
            </w:pPr>
          </w:p>
        </w:tc>
        <w:tc>
          <w:tcPr>
            <w:tcW w:w="1014"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lang w:eastAsia="zh-CN"/>
              </w:rPr>
            </w:pPr>
            <w:r>
              <w:rPr>
                <w:rFonts w:ascii="Times New Roman" w:hAnsi="Times New Roman" w:eastAsia="黑体" w:cs="Times New Roman"/>
                <w:b/>
                <w:color w:val="auto"/>
                <w:sz w:val="18"/>
                <w:szCs w:val="18"/>
                <w:lang w:eastAsia="zh-CN"/>
              </w:rPr>
              <w:t>法规</w:t>
            </w:r>
            <w:r>
              <w:rPr>
                <w:rFonts w:ascii="Times New Roman" w:hAnsi="Times New Roman" w:eastAsia="黑体" w:cs="Times New Roman"/>
                <w:b/>
                <w:color w:val="auto"/>
                <w:sz w:val="18"/>
                <w:szCs w:val="18"/>
              </w:rPr>
              <w:t>标准</w:t>
            </w:r>
          </w:p>
        </w:tc>
        <w:tc>
          <w:tcPr>
            <w:tcW w:w="993" w:type="dxa"/>
            <w:shd w:val="clear" w:color="auto" w:fill="FFFFFF"/>
            <w:noWrap/>
            <w:vAlign w:val="center"/>
          </w:tcPr>
          <w:p>
            <w:pPr>
              <w:pStyle w:val="10"/>
              <w:snapToGrid w:val="0"/>
              <w:spacing w:line="240" w:lineRule="auto"/>
              <w:jc w:val="center"/>
              <w:rPr>
                <w:rFonts w:ascii="Times New Roman" w:hAnsi="Times New Roman" w:eastAsia="黑体" w:cs="Times New Roman"/>
                <w:b/>
                <w:color w:val="auto"/>
                <w:sz w:val="18"/>
                <w:szCs w:val="18"/>
              </w:rPr>
            </w:pPr>
            <w:r>
              <w:rPr>
                <w:rFonts w:ascii="Times New Roman" w:hAnsi="Times New Roman" w:eastAsia="黑体" w:cs="Times New Roman"/>
                <w:b/>
                <w:color w:val="auto"/>
                <w:sz w:val="18"/>
                <w:szCs w:val="18"/>
              </w:rPr>
              <w:t>适用条款</w:t>
            </w:r>
          </w:p>
        </w:tc>
        <w:tc>
          <w:tcPr>
            <w:tcW w:w="9805" w:type="dxa"/>
            <w:vMerge w:val="continue"/>
            <w:shd w:val="clear" w:color="auto" w:fill="FFFFFF"/>
            <w:noWrap/>
            <w:vAlign w:val="center"/>
          </w:tcPr>
          <w:p>
            <w:pPr>
              <w:snapToGrid w:val="0"/>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627"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使用单位</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要求</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作业</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人员</w:t>
            </w:r>
          </w:p>
        </w:tc>
        <w:tc>
          <w:tcPr>
            <w:tcW w:w="7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每年至</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少一次</w:t>
            </w:r>
          </w:p>
        </w:tc>
        <w:tc>
          <w:tcPr>
            <w:tcW w:w="1014" w:type="dxa"/>
            <w:vMerge w:val="restart"/>
            <w:shd w:val="clear" w:color="auto" w:fill="FFFFFF"/>
            <w:noWrap/>
            <w:vAlign w:val="center"/>
          </w:tcPr>
          <w:p>
            <w:pPr>
              <w:pStyle w:val="10"/>
              <w:snapToGrid w:val="0"/>
              <w:rPr>
                <w:rFonts w:ascii="Times New Roman" w:hAnsi="Times New Roman" w:cs="Times New Roman"/>
                <w:color w:val="auto"/>
                <w:sz w:val="18"/>
                <w:szCs w:val="18"/>
              </w:rPr>
            </w:pPr>
            <w:r>
              <w:rPr>
                <w:rFonts w:ascii="Times New Roman" w:hAnsi="Times New Roman" w:cs="Times New Roman"/>
                <w:color w:val="auto"/>
                <w:sz w:val="18"/>
                <w:szCs w:val="18"/>
              </w:rPr>
              <w:t>场(厂)内专用机动车辆安全技术监察规程</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 N0001-</w:t>
            </w:r>
            <w:r>
              <w:rPr>
                <w:rFonts w:ascii="Times New Roman" w:hAnsi="Times New Roman" w:eastAsia="Times New Roman" w:cs="Times New Roman"/>
                <w:color w:val="auto"/>
                <w:sz w:val="18"/>
                <w:szCs w:val="18"/>
              </w:rPr>
              <w:t>2017)</w:t>
            </w: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3.1.1</w:t>
            </w:r>
          </w:p>
        </w:tc>
        <w:tc>
          <w:tcPr>
            <w:tcW w:w="9805" w:type="dxa"/>
            <w:shd w:val="clear" w:color="auto" w:fill="FFFFFF"/>
            <w:noWrap/>
            <w:vAlign w:val="center"/>
          </w:tcPr>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取得营业执照；</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对其区域内使用场车的安全负责；</w:t>
            </w:r>
          </w:p>
          <w:p>
            <w:pPr>
              <w:pStyle w:val="10"/>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根据场(厂)内专用机动车辆的用途、使用环境，选择适应使用条件要求的场(厂)内专用机动车辆，并且对所购买场(厂)内专用机动车辆的选型负责；</w:t>
            </w:r>
          </w:p>
          <w:p>
            <w:pPr>
              <w:pStyle w:val="10"/>
              <w:tabs>
                <w:tab w:val="left" w:pos="31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hAnsi="Times New Roman" w:cs="Times New Roman"/>
                <w:color w:val="auto"/>
                <w:sz w:val="18"/>
                <w:szCs w:val="18"/>
              </w:rPr>
              <w:t>购置观光车辆时，保证观光车辆的设计爬坡度能够满足使用单位行驶线路中的最大坡度的要求，并且在销售合同中明确；</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(5)</w:t>
            </w:r>
            <w:r>
              <w:rPr>
                <w:rFonts w:ascii="Times New Roman" w:hAnsi="Times New Roman" w:cs="Times New Roman"/>
                <w:color w:val="auto"/>
                <w:sz w:val="18"/>
                <w:szCs w:val="18"/>
              </w:rPr>
              <w:t>场(厂)内专用机动车辆首次投入使用前，向产权单位所在地的特种设备检验机构申请首次检验；</w:t>
            </w:r>
          </w:p>
          <w:p>
            <w:pPr>
              <w:pStyle w:val="10"/>
              <w:tabs>
                <w:tab w:val="left" w:pos="331"/>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(6)</w:t>
            </w:r>
            <w:r>
              <w:rPr>
                <w:rFonts w:ascii="Times New Roman" w:hAnsi="Times New Roman" w:cs="Times New Roman"/>
                <w:color w:val="auto"/>
                <w:sz w:val="18"/>
                <w:szCs w:val="18"/>
              </w:rPr>
              <w:t>检验有效期届满的</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个月以前，向特种设备检验机构提出定期检验申请，接受检验，并且做好定期检验相关的配合工作；</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7)</w:t>
            </w:r>
            <w:r>
              <w:rPr>
                <w:rFonts w:ascii="Times New Roman" w:hAnsi="Times New Roman" w:cs="Times New Roman"/>
                <w:color w:val="auto"/>
                <w:sz w:val="18"/>
                <w:szCs w:val="18"/>
              </w:rPr>
              <w:t>流动作业的场(厂)内专用机动车辆使用期间，在使用所在地或者使用登记所在地进行定期检验；</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8)</w:t>
            </w:r>
            <w:r>
              <w:rPr>
                <w:rFonts w:ascii="Times New Roman" w:hAnsi="Times New Roman" w:cs="Times New Roman"/>
                <w:color w:val="auto"/>
                <w:sz w:val="18"/>
                <w:szCs w:val="18"/>
              </w:rPr>
              <w:t>制定安全操作规程，至少包括系安全带、转弯减速、下坡减速和超高限速等要求；</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(9)</w:t>
            </w:r>
            <w:r>
              <w:rPr>
                <w:rFonts w:ascii="Times New Roman" w:hAnsi="Times New Roman" w:cs="Times New Roman"/>
                <w:color w:val="auto"/>
                <w:sz w:val="18"/>
                <w:szCs w:val="18"/>
              </w:rPr>
              <w:t>场(厂)内专用机动车辆驾驶人员取得相应的《特种设备作业人员证》，持证上岗；</w:t>
            </w:r>
          </w:p>
          <w:p>
            <w:pPr>
              <w:pStyle w:val="10"/>
              <w:tabs>
                <w:tab w:val="left" w:pos="413"/>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10)</w:t>
            </w:r>
            <w:r>
              <w:rPr>
                <w:rFonts w:ascii="Times New Roman" w:hAnsi="Times New Roman" w:cs="Times New Roman"/>
                <w:color w:val="auto"/>
                <w:sz w:val="18"/>
                <w:szCs w:val="18"/>
              </w:rPr>
              <w:t>按照场(厂)内专用机动车辆安全技术监察规程要求，进行场(厂)内专用机动车辆的日常维护保养、自行检查和全面检查；</w:t>
            </w:r>
          </w:p>
          <w:p>
            <w:pPr>
              <w:pStyle w:val="10"/>
              <w:tabs>
                <w:tab w:val="left" w:pos="398"/>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11)</w:t>
            </w:r>
            <w:r>
              <w:rPr>
                <w:rFonts w:ascii="Times New Roman" w:hAnsi="Times New Roman" w:cs="Times New Roman"/>
                <w:color w:val="auto"/>
                <w:sz w:val="18"/>
                <w:szCs w:val="18"/>
              </w:rPr>
              <w:t>叉车使用中，如果将货叉更换为其他属具，该设备的使用安全由使用单位负责；</w:t>
            </w:r>
          </w:p>
          <w:p>
            <w:pPr>
              <w:pStyle w:val="10"/>
              <w:tabs>
                <w:tab w:val="left" w:pos="403"/>
              </w:tabs>
              <w:snapToGrid w:val="0"/>
              <w:spacing w:line="240" w:lineRule="auto"/>
              <w:rPr>
                <w:rFonts w:ascii="Times New Roman" w:hAnsi="Times New Roman" w:cs="Times New Roman"/>
                <w:color w:val="auto"/>
                <w:sz w:val="18"/>
                <w:szCs w:val="18"/>
              </w:rPr>
            </w:pPr>
            <w:r>
              <w:rPr>
                <w:rFonts w:ascii="Times New Roman" w:hAnsi="Times New Roman" w:eastAsia="Times New Roman" w:cs="Times New Roman"/>
                <w:color w:val="auto"/>
                <w:sz w:val="18"/>
                <w:szCs w:val="18"/>
              </w:rPr>
              <w:t>(12)</w:t>
            </w:r>
            <w:r>
              <w:rPr>
                <w:rFonts w:ascii="Times New Roman" w:hAnsi="Times New Roman" w:cs="Times New Roman"/>
                <w:color w:val="auto"/>
                <w:sz w:val="18"/>
                <w:szCs w:val="18"/>
              </w:rPr>
              <w:t>在观光车辆上配备灭火器；</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13)</w:t>
            </w:r>
            <w:r>
              <w:rPr>
                <w:rFonts w:ascii="Times New Roman" w:hAnsi="Times New Roman" w:cs="Times New Roman"/>
                <w:color w:val="auto"/>
                <w:sz w:val="18"/>
                <w:szCs w:val="18"/>
              </w:rPr>
              <w:t>履行法律、法规规定的其他义务。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211"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作业环境</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审查</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作业</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人员</w:t>
            </w:r>
          </w:p>
        </w:tc>
        <w:tc>
          <w:tcPr>
            <w:tcW w:w="7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每年至</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val="zh-CN" w:eastAsia="zh-CN" w:bidi="zh-CN"/>
              </w:rPr>
              <w:t>少一次</w:t>
            </w:r>
          </w:p>
        </w:tc>
        <w:tc>
          <w:tcPr>
            <w:tcW w:w="1014" w:type="dxa"/>
            <w:vMerge w:val="continue"/>
            <w:shd w:val="clear" w:color="auto" w:fill="FFFFFF"/>
            <w:noWrap/>
            <w:vAlign w:val="center"/>
          </w:tcPr>
          <w:p>
            <w:pPr>
              <w:pStyle w:val="10"/>
              <w:snapToGrid w:val="0"/>
              <w:rPr>
                <w:rFonts w:ascii="Times New Roman" w:hAnsi="Times New Roman" w:cs="Times New Roman"/>
                <w:color w:val="auto"/>
                <w:sz w:val="18"/>
                <w:szCs w:val="18"/>
              </w:rPr>
            </w:pP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3.1.2</w:t>
            </w:r>
          </w:p>
        </w:tc>
        <w:tc>
          <w:tcPr>
            <w:tcW w:w="9805" w:type="dxa"/>
            <w:shd w:val="clear" w:color="auto" w:fill="FFFFFF"/>
            <w:noWrap/>
            <w:vAlign w:val="center"/>
          </w:tcPr>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场车的使用环境应当根据本单位场车工作区域的路况，规范本单位场车的作业环境；</w:t>
            </w:r>
          </w:p>
          <w:p>
            <w:pPr>
              <w:pStyle w:val="10"/>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2)</w:t>
            </w:r>
            <w:r>
              <w:rPr>
                <w:rFonts w:ascii="Times New Roman" w:hAnsi="Times New Roman" w:cs="Times New Roman"/>
                <w:color w:val="auto"/>
                <w:sz w:val="18"/>
                <w:szCs w:val="18"/>
              </w:rPr>
              <w:t>观光车行驶的线路，最大坡度不得大于</w:t>
            </w:r>
            <w:r>
              <w:rPr>
                <w:rFonts w:ascii="Times New Roman" w:hAnsi="Times New Roman" w:eastAsia="Times New Roman" w:cs="Times New Roman"/>
                <w:color w:val="auto"/>
                <w:sz w:val="18"/>
                <w:szCs w:val="18"/>
              </w:rPr>
              <w:t>10%</w:t>
            </w:r>
            <w:r>
              <w:rPr>
                <w:rFonts w:ascii="Times New Roman" w:hAnsi="Times New Roman" w:cs="Times New Roman"/>
                <w:color w:val="auto"/>
                <w:sz w:val="18"/>
                <w:szCs w:val="18"/>
              </w:rPr>
              <w:t>(坡长小于</w:t>
            </w:r>
            <w:r>
              <w:rPr>
                <w:rFonts w:ascii="Times New Roman" w:hAnsi="Times New Roman" w:eastAsia="Times New Roman" w:cs="Times New Roman"/>
                <w:color w:val="auto"/>
                <w:sz w:val="18"/>
                <w:szCs w:val="18"/>
              </w:rPr>
              <w:t xml:space="preserve">20 </w:t>
            </w:r>
            <w:r>
              <w:rPr>
                <w:rFonts w:ascii="Times New Roman" w:hAnsi="Times New Roman" w:eastAsia="Times New Roman" w:cs="Times New Roman"/>
                <w:color w:val="auto"/>
                <w:sz w:val="18"/>
                <w:szCs w:val="18"/>
                <w:lang w:val="en-US" w:eastAsia="zh-CN" w:bidi="en-US"/>
              </w:rPr>
              <w:t>m</w:t>
            </w:r>
            <w:r>
              <w:rPr>
                <w:rFonts w:ascii="Times New Roman" w:hAnsi="Times New Roman" w:cs="Times New Roman"/>
                <w:color w:val="auto"/>
                <w:sz w:val="18"/>
                <w:szCs w:val="18"/>
              </w:rPr>
              <w:t>的短坡除外)，观光列车的行驶线路中，最大坡度不得大于</w:t>
            </w:r>
            <w:r>
              <w:rPr>
                <w:rFonts w:ascii="Times New Roman" w:hAnsi="Times New Roman" w:eastAsia="Times New Roman" w:cs="Times New Roman"/>
                <w:color w:val="auto"/>
                <w:sz w:val="18"/>
                <w:szCs w:val="18"/>
              </w:rPr>
              <w:t xml:space="preserve">4% </w:t>
            </w:r>
            <w:r>
              <w:rPr>
                <w:rFonts w:ascii="Times New Roman" w:hAnsi="Times New Roman" w:cs="Times New Roman"/>
                <w:color w:val="auto"/>
                <w:sz w:val="18"/>
                <w:szCs w:val="18"/>
              </w:rPr>
              <w:t>(坡长小于</w:t>
            </w:r>
            <w:r>
              <w:rPr>
                <w:rFonts w:ascii="Times New Roman" w:hAnsi="Times New Roman" w:eastAsia="Times New Roman" w:cs="Times New Roman"/>
                <w:color w:val="auto"/>
                <w:sz w:val="18"/>
                <w:szCs w:val="18"/>
              </w:rPr>
              <w:t xml:space="preserve">20 </w:t>
            </w:r>
            <w:r>
              <w:rPr>
                <w:rFonts w:ascii="Times New Roman" w:hAnsi="Times New Roman" w:eastAsia="Times New Roman" w:cs="Times New Roman"/>
                <w:color w:val="auto"/>
                <w:sz w:val="18"/>
                <w:szCs w:val="18"/>
                <w:lang w:val="en-US" w:eastAsia="zh-CN" w:bidi="en-US"/>
              </w:rPr>
              <w:t>m</w:t>
            </w:r>
            <w:r>
              <w:rPr>
                <w:rFonts w:ascii="Times New Roman" w:hAnsi="Times New Roman" w:cs="Times New Roman"/>
                <w:color w:val="auto"/>
                <w:sz w:val="18"/>
                <w:szCs w:val="18"/>
              </w:rPr>
              <w:t>的短坡除外)；</w:t>
            </w:r>
          </w:p>
          <w:p>
            <w:pPr>
              <w:pStyle w:val="10"/>
              <w:tabs>
                <w:tab w:val="left" w:pos="317"/>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3)</w:t>
            </w:r>
            <w:r>
              <w:rPr>
                <w:rFonts w:ascii="Times New Roman" w:hAnsi="Times New Roman" w:cs="Times New Roman"/>
                <w:color w:val="auto"/>
                <w:sz w:val="18"/>
                <w:szCs w:val="18"/>
              </w:rPr>
              <w:t>场车如果在《道路交通安全法》规定的道路上行驶，应当遵守公安交通管理部门的相关规定；</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w:t>
            </w:r>
            <w:r>
              <w:rPr>
                <w:rFonts w:ascii="Times New Roman" w:hAnsi="Times New Roman" w:eastAsia="Times New Roman" w:cs="Times New Roman"/>
                <w:color w:val="auto"/>
                <w:sz w:val="18"/>
                <w:szCs w:val="18"/>
              </w:rPr>
              <w:t>4)</w:t>
            </w:r>
            <w:r>
              <w:rPr>
                <w:rFonts w:ascii="Times New Roman" w:hAnsi="Times New Roman" w:cs="Times New Roman"/>
                <w:color w:val="auto"/>
                <w:sz w:val="18"/>
                <w:szCs w:val="18"/>
              </w:rPr>
              <w:t>因气候变化原因，使用单位可以采取遮风挡雨等措施，但是不得改变观光车辆非封闭的要求。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71" w:hRule="atLeas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观光车辆的行使线路图</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作业</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人员</w:t>
            </w:r>
          </w:p>
        </w:tc>
        <w:tc>
          <w:tcPr>
            <w:tcW w:w="7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每年至</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val="zh-CN" w:eastAsia="zh-CN" w:bidi="zh-CN"/>
              </w:rPr>
              <w:t>少一次</w:t>
            </w:r>
          </w:p>
        </w:tc>
        <w:tc>
          <w:tcPr>
            <w:tcW w:w="1014" w:type="dxa"/>
            <w:vMerge w:val="continue"/>
            <w:shd w:val="clear" w:color="auto" w:fill="FFFFFF"/>
            <w:noWrap/>
            <w:vAlign w:val="center"/>
          </w:tcPr>
          <w:p>
            <w:pPr>
              <w:pStyle w:val="10"/>
              <w:snapToGrid w:val="0"/>
              <w:rPr>
                <w:rFonts w:ascii="Times New Roman" w:hAnsi="Times New Roman" w:cs="Times New Roman"/>
                <w:color w:val="auto"/>
                <w:sz w:val="18"/>
                <w:szCs w:val="18"/>
              </w:rPr>
            </w:pP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3.1.3</w:t>
            </w:r>
          </w:p>
        </w:tc>
        <w:tc>
          <w:tcPr>
            <w:tcW w:w="980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对观光车辆行驶线路的安全负责。使用单位应当制定车辆运营时的行驶线路图，并且按照线路图在行驶线路上设置醒目的行驶线路标志，明确行驶速度等安全要求。观光车辆的行驶线路图，应当在乘客固定的上下车位置明确标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2188"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日常维护保养和检查</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作业</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人员</w:t>
            </w:r>
          </w:p>
        </w:tc>
        <w:tc>
          <w:tcPr>
            <w:tcW w:w="750"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每年至</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少一次</w:t>
            </w:r>
          </w:p>
        </w:tc>
        <w:tc>
          <w:tcPr>
            <w:tcW w:w="1014"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rPr>
            </w:pP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eastAsia="Times New Roman" w:cs="Times New Roman"/>
                <w:color w:val="auto"/>
                <w:sz w:val="18"/>
                <w:szCs w:val="18"/>
                <w:lang w:val="en-US" w:eastAsia="en-US" w:bidi="en-US"/>
              </w:rPr>
              <w:t>3.2</w:t>
            </w:r>
          </w:p>
        </w:tc>
        <w:tc>
          <w:tcPr>
            <w:tcW w:w="9805" w:type="dxa"/>
            <w:shd w:val="clear" w:color="auto" w:fill="FFFFFF"/>
            <w:noWrap/>
            <w:vAlign w:val="center"/>
          </w:tcPr>
          <w:p>
            <w:pPr>
              <w:pStyle w:val="10"/>
              <w:numPr>
                <w:ilvl w:val="0"/>
                <w:numId w:val="57"/>
              </w:numPr>
              <w:tabs>
                <w:tab w:val="left" w:pos="322"/>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使用单位应当对在用场车至少每月进行一次日常维护保养和自行检查，每年进行一次全面检查，保持场车的正常使用状态；日常维护保养和自行检查、全面检查应当按照有关安全技术规范和产品使用维护保养说明的要求进行，发现异常情况，应当及时处理，并且记录，记录存入安全技术档案；日常维护保养、自行检查和全面检查记录至少保存</w:t>
            </w:r>
            <w:r>
              <w:rPr>
                <w:rFonts w:ascii="Times New Roman" w:hAnsi="Times New Roman" w:eastAsia="Times New Roman" w:cs="Times New Roman"/>
                <w:color w:val="auto"/>
                <w:sz w:val="18"/>
                <w:szCs w:val="18"/>
              </w:rPr>
              <w:t>5</w:t>
            </w:r>
            <w:r>
              <w:rPr>
                <w:rFonts w:ascii="Times New Roman" w:hAnsi="Times New Roman" w:cs="Times New Roman"/>
                <w:color w:val="auto"/>
                <w:sz w:val="18"/>
                <w:szCs w:val="18"/>
              </w:rPr>
              <w:t>年；</w:t>
            </w:r>
          </w:p>
          <w:p>
            <w:pPr>
              <w:pStyle w:val="10"/>
              <w:numPr>
                <w:ilvl w:val="0"/>
                <w:numId w:val="57"/>
              </w:numPr>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场车在每日投入使用前，使用单位应当按照使用维护保养说明进行试运行检查，并且记录；在使用过程中，使用单位应当加强对车的巡检，并且记录；</w:t>
            </w:r>
          </w:p>
          <w:p>
            <w:pPr>
              <w:pStyle w:val="10"/>
              <w:numPr>
                <w:ilvl w:val="0"/>
                <w:numId w:val="57"/>
              </w:numPr>
              <w:tabs>
                <w:tab w:val="left" w:pos="331"/>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场车出现故障或者发生异常情况，使用单位应当停止使用，对其进行全面检查，消除事故隐患，并且记录，记录存入安全技术档案；</w:t>
            </w:r>
          </w:p>
          <w:p>
            <w:pPr>
              <w:pStyle w:val="10"/>
              <w:numPr>
                <w:ilvl w:val="0"/>
                <w:numId w:val="57"/>
              </w:numPr>
              <w:tabs>
                <w:tab w:val="left" w:pos="326"/>
              </w:tabs>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场车的日常维护保养、自行检查由使用单位的场车作业人员实施，全面检查由使用单位的场车安全管理人员负责组织实施，或者委托其他专业机构实施;如果委托其他专业机构进行，应当签订相应合同，明确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1"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rPr>
              <w:t>日常检查</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作业</w:t>
            </w:r>
          </w:p>
          <w:p>
            <w:pPr>
              <w:pStyle w:val="10"/>
              <w:snapToGrid w:val="0"/>
              <w:spacing w:line="240" w:lineRule="auto"/>
              <w:ind w:firstLine="180" w:firstLineChars="100"/>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人员</w:t>
            </w:r>
          </w:p>
        </w:tc>
        <w:tc>
          <w:tcPr>
            <w:tcW w:w="750"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每日(班)</w:t>
            </w:r>
          </w:p>
        </w:tc>
        <w:tc>
          <w:tcPr>
            <w:tcW w:w="1014" w:type="dxa"/>
            <w:vMerge w:val="continue"/>
            <w:shd w:val="clear" w:color="auto" w:fill="FFFFFF"/>
            <w:noWrap/>
            <w:vAlign w:val="center"/>
          </w:tcPr>
          <w:p>
            <w:pPr>
              <w:pStyle w:val="10"/>
              <w:snapToGrid w:val="0"/>
              <w:spacing w:line="240" w:lineRule="auto"/>
              <w:rPr>
                <w:rFonts w:ascii="Times New Roman" w:hAnsi="Times New Roman" w:eastAsia="Times New Roman" w:cs="Times New Roman"/>
                <w:color w:val="auto"/>
                <w:sz w:val="18"/>
                <w:szCs w:val="18"/>
                <w:lang w:val="en-US" w:eastAsia="zh-CN" w:bidi="en-US"/>
              </w:rPr>
            </w:pP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eastAsia="Times New Roman" w:cs="Times New Roman"/>
                <w:color w:val="auto"/>
                <w:sz w:val="18"/>
                <w:szCs w:val="18"/>
                <w:lang w:val="en-US" w:eastAsia="en-US" w:bidi="en-US"/>
              </w:rPr>
              <w:t>3.2.1</w:t>
            </w:r>
          </w:p>
        </w:tc>
        <w:tc>
          <w:tcPr>
            <w:tcW w:w="9805"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rPr>
              <w:t>按照使用维护保养说明的要求进行。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44" w:hRule="exact"/>
          <w:jc w:val="center"/>
        </w:trPr>
        <w:tc>
          <w:tcPr>
            <w:tcW w:w="1004" w:type="dxa"/>
            <w:shd w:val="clear" w:color="auto" w:fill="FFFFFF"/>
            <w:noWrap/>
            <w:vAlign w:val="center"/>
          </w:tcPr>
          <w:p>
            <w:pPr>
              <w:pStyle w:val="10"/>
              <w:snapToGrid w:val="0"/>
              <w:spacing w:line="240" w:lineRule="auto"/>
              <w:ind w:firstLine="180" w:firstLineChars="100"/>
              <w:rPr>
                <w:rFonts w:ascii="Times New Roman" w:hAnsi="Times New Roman" w:cs="Times New Roman"/>
                <w:color w:val="auto"/>
                <w:sz w:val="18"/>
                <w:szCs w:val="18"/>
              </w:rPr>
            </w:pPr>
            <w:r>
              <w:rPr>
                <w:rFonts w:ascii="Times New Roman" w:hAnsi="Times New Roman" w:cs="Times New Roman"/>
                <w:color w:val="auto"/>
                <w:sz w:val="18"/>
                <w:szCs w:val="18"/>
              </w:rPr>
              <w:t>自行检查</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作业</w:t>
            </w:r>
          </w:p>
          <w:p>
            <w:pPr>
              <w:pStyle w:val="10"/>
              <w:snapToGrid w:val="0"/>
              <w:spacing w:line="240" w:lineRule="auto"/>
              <w:ind w:firstLine="180" w:firstLineChars="100"/>
              <w:rPr>
                <w:rFonts w:ascii="Times New Roman" w:hAnsi="Times New Roman" w:cs="Times New Roman"/>
                <w:color w:val="auto"/>
                <w:sz w:val="18"/>
                <w:szCs w:val="18"/>
              </w:rPr>
            </w:pPr>
            <w:r>
              <w:rPr>
                <w:rFonts w:ascii="Times New Roman" w:hAnsi="Times New Roman" w:cs="Times New Roman"/>
                <w:color w:val="auto"/>
                <w:sz w:val="18"/>
                <w:szCs w:val="18"/>
                <w:lang w:eastAsia="zh-CN"/>
              </w:rPr>
              <w:t>人员</w:t>
            </w:r>
          </w:p>
        </w:tc>
        <w:tc>
          <w:tcPr>
            <w:tcW w:w="750"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每月一次</w:t>
            </w:r>
          </w:p>
        </w:tc>
        <w:tc>
          <w:tcPr>
            <w:tcW w:w="1014" w:type="dxa"/>
            <w:vMerge w:val="restart"/>
            <w:shd w:val="clear" w:color="auto" w:fill="FFFFFF"/>
            <w:noWrap/>
            <w:vAlign w:val="center"/>
          </w:tcPr>
          <w:p>
            <w:pPr>
              <w:pStyle w:val="10"/>
              <w:snapToGrid w:val="0"/>
              <w:rPr>
                <w:rFonts w:ascii="Times New Roman" w:hAnsi="Times New Roman" w:cs="Times New Roman"/>
                <w:color w:val="auto"/>
                <w:sz w:val="18"/>
                <w:szCs w:val="18"/>
              </w:rPr>
            </w:pPr>
            <w:r>
              <w:rPr>
                <w:rFonts w:ascii="Times New Roman" w:hAnsi="Times New Roman" w:cs="Times New Roman"/>
                <w:color w:val="auto"/>
                <w:sz w:val="18"/>
                <w:szCs w:val="18"/>
              </w:rPr>
              <w:t>场(厂)内专用机动车辆安全技术监察规程</w:t>
            </w:r>
            <w:r>
              <w:rPr>
                <w:rFonts w:ascii="Times New Roman" w:hAnsi="Times New Roman" w:cs="Times New Roman"/>
                <w:color w:val="auto"/>
                <w:sz w:val="18"/>
                <w:szCs w:val="18"/>
                <w:lang w:val="en-US" w:eastAsia="zh-CN" w:bidi="en-US"/>
              </w:rPr>
              <w:t>(</w:t>
            </w:r>
            <w:r>
              <w:rPr>
                <w:rFonts w:ascii="Times New Roman" w:hAnsi="Times New Roman" w:eastAsia="Times New Roman" w:cs="Times New Roman"/>
                <w:color w:val="auto"/>
                <w:sz w:val="18"/>
                <w:szCs w:val="18"/>
                <w:lang w:val="en-US" w:eastAsia="zh-CN" w:bidi="en-US"/>
              </w:rPr>
              <w:t>TSG N0001-</w:t>
            </w:r>
            <w:r>
              <w:rPr>
                <w:rFonts w:ascii="Times New Roman" w:hAnsi="Times New Roman" w:eastAsia="Times New Roman" w:cs="Times New Roman"/>
                <w:color w:val="auto"/>
                <w:sz w:val="18"/>
                <w:szCs w:val="18"/>
              </w:rPr>
              <w:t>2017)</w:t>
            </w:r>
          </w:p>
        </w:tc>
        <w:tc>
          <w:tcPr>
            <w:tcW w:w="993" w:type="dxa"/>
            <w:shd w:val="clear" w:color="auto" w:fill="FFFFFF"/>
            <w:noWrap/>
            <w:vAlign w:val="center"/>
          </w:tcPr>
          <w:p>
            <w:pPr>
              <w:pStyle w:val="10"/>
              <w:snapToGrid w:val="0"/>
              <w:spacing w:line="240" w:lineRule="auto"/>
              <w:jc w:val="center"/>
              <w:rPr>
                <w:rFonts w:ascii="Times New Roman" w:hAnsi="Times New Roman" w:eastAsia="Times New Roman" w:cs="Times New Roman"/>
                <w:color w:val="auto"/>
                <w:sz w:val="18"/>
                <w:szCs w:val="18"/>
                <w:lang w:val="en-US" w:eastAsia="en-US" w:bidi="en-US"/>
              </w:rPr>
            </w:pPr>
            <w:r>
              <w:rPr>
                <w:rFonts w:ascii="Times New Roman" w:hAnsi="Times New Roman" w:eastAsia="Times New Roman" w:cs="Times New Roman"/>
                <w:color w:val="auto"/>
                <w:sz w:val="18"/>
                <w:szCs w:val="18"/>
                <w:lang w:val="en-US" w:eastAsia="en-US" w:bidi="en-US"/>
              </w:rPr>
              <w:t>3.2.2</w:t>
            </w:r>
          </w:p>
        </w:tc>
        <w:tc>
          <w:tcPr>
            <w:tcW w:w="980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在用场(厂)内专用机动车辆的自行检查，至少包括整车工作性能、动力系统、转向系统、起升系统、液压系统、制动功能、安全保护和防护装置、防止货叉脱出的限位装置(如定位锁)、载荷搬运装置、车轮紧固件、充气轮胎的气压、警示装置、灯光、仪表显示等以及</w:t>
            </w:r>
            <w:r>
              <w:rPr>
                <w:rFonts w:ascii="Times New Roman" w:hAnsi="Times New Roman" w:eastAsia="Times New Roman" w:cs="Times New Roman"/>
                <w:color w:val="auto"/>
                <w:sz w:val="18"/>
                <w:szCs w:val="18"/>
                <w:lang w:val="en-US" w:eastAsia="zh-CN" w:bidi="en-US"/>
              </w:rPr>
              <w:t>TSG N0001-2017</w:t>
            </w:r>
            <w:r>
              <w:rPr>
                <w:rFonts w:ascii="Times New Roman" w:hAnsi="Times New Roman" w:cs="Times New Roman"/>
                <w:color w:val="auto"/>
                <w:sz w:val="18"/>
                <w:szCs w:val="18"/>
              </w:rPr>
              <w:t>中附件</w:t>
            </w:r>
            <w:r>
              <w:rPr>
                <w:rFonts w:ascii="Times New Roman" w:hAnsi="Times New Roman" w:eastAsia="Times New Roman" w:cs="Times New Roman"/>
                <w:color w:val="auto"/>
                <w:sz w:val="18"/>
                <w:szCs w:val="18"/>
                <w:lang w:val="en-US" w:eastAsia="zh-CN" w:bidi="en-US"/>
              </w:rPr>
              <w:t>B</w:t>
            </w:r>
            <w:r>
              <w:rPr>
                <w:rFonts w:ascii="Times New Roman" w:hAnsi="Times New Roman" w:cs="Times New Roman"/>
                <w:color w:val="auto"/>
                <w:sz w:val="18"/>
                <w:szCs w:val="18"/>
                <w:lang w:val="en-US" w:eastAsia="zh-CN" w:bidi="en-US"/>
              </w:rPr>
              <w:t>、</w:t>
            </w:r>
            <w:r>
              <w:rPr>
                <w:rFonts w:ascii="Times New Roman" w:hAnsi="Times New Roman" w:cs="Times New Roman"/>
                <w:color w:val="auto"/>
                <w:sz w:val="18"/>
                <w:szCs w:val="18"/>
              </w:rPr>
              <w:t>附件</w:t>
            </w:r>
            <w:r>
              <w:rPr>
                <w:rFonts w:ascii="Times New Roman" w:hAnsi="Times New Roman" w:eastAsia="Times New Roman" w:cs="Times New Roman"/>
                <w:color w:val="auto"/>
                <w:sz w:val="18"/>
                <w:szCs w:val="18"/>
                <w:lang w:val="en-US" w:eastAsia="zh-CN" w:bidi="en-US"/>
              </w:rPr>
              <w:t>C</w:t>
            </w:r>
            <w:r>
              <w:rPr>
                <w:rFonts w:ascii="Times New Roman" w:hAnsi="Times New Roman" w:cs="Times New Roman"/>
                <w:color w:val="auto"/>
                <w:sz w:val="18"/>
                <w:szCs w:val="18"/>
              </w:rPr>
              <w:t>中定期(首次)检验的项目。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72"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日常维护保养</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作业</w:t>
            </w:r>
          </w:p>
          <w:p>
            <w:pPr>
              <w:pStyle w:val="10"/>
              <w:snapToGrid w:val="0"/>
              <w:spacing w:line="240" w:lineRule="auto"/>
              <w:ind w:firstLine="180" w:firstLineChars="100"/>
              <w:rPr>
                <w:rFonts w:ascii="Times New Roman" w:hAnsi="Times New Roman" w:cs="Times New Roman"/>
                <w:color w:val="auto"/>
                <w:sz w:val="18"/>
                <w:szCs w:val="18"/>
              </w:rPr>
            </w:pPr>
            <w:r>
              <w:rPr>
                <w:rFonts w:ascii="Times New Roman" w:hAnsi="Times New Roman" w:cs="Times New Roman"/>
                <w:color w:val="auto"/>
                <w:sz w:val="18"/>
                <w:szCs w:val="18"/>
                <w:lang w:eastAsia="zh-CN"/>
              </w:rPr>
              <w:t>人员</w:t>
            </w:r>
          </w:p>
        </w:tc>
        <w:tc>
          <w:tcPr>
            <w:tcW w:w="750"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每月一次</w:t>
            </w:r>
          </w:p>
        </w:tc>
        <w:tc>
          <w:tcPr>
            <w:tcW w:w="1014"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lang w:val="en-US" w:eastAsia="en-US" w:bidi="en-US"/>
              </w:rPr>
            </w:pPr>
          </w:p>
        </w:tc>
        <w:tc>
          <w:tcPr>
            <w:tcW w:w="993" w:type="dxa"/>
            <w:shd w:val="clear" w:color="auto" w:fill="FFFFFF"/>
            <w:noWrap/>
            <w:vAlign w:val="center"/>
          </w:tcPr>
          <w:p>
            <w:pPr>
              <w:pStyle w:val="10"/>
              <w:snapToGrid w:val="0"/>
              <w:spacing w:line="240" w:lineRule="auto"/>
              <w:jc w:val="center"/>
              <w:rPr>
                <w:rFonts w:ascii="Times New Roman" w:hAnsi="Times New Roman" w:eastAsia="Times New Roman" w:cs="Times New Roman"/>
                <w:color w:val="auto"/>
                <w:sz w:val="18"/>
                <w:szCs w:val="18"/>
                <w:lang w:val="en-US" w:eastAsia="en-US" w:bidi="en-US"/>
              </w:rPr>
            </w:pPr>
            <w:r>
              <w:rPr>
                <w:rFonts w:ascii="Times New Roman" w:hAnsi="Times New Roman" w:eastAsia="Times New Roman" w:cs="Times New Roman"/>
                <w:color w:val="auto"/>
                <w:sz w:val="18"/>
                <w:szCs w:val="18"/>
                <w:lang w:val="en-US" w:eastAsia="en-US" w:bidi="en-US"/>
              </w:rPr>
              <w:t>3.2.2</w:t>
            </w:r>
          </w:p>
        </w:tc>
        <w:tc>
          <w:tcPr>
            <w:tcW w:w="980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在用场(厂)内专用机动车辆的日常维护保养，至少包括主要受力结构件、安全保护装置、工作机构、操纵机构、电气(液压、气动)控制系统等的清洁、润滑、检查、调整、更换易损件和失效的零部件。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91"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全面检查</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特种设备管理人员</w:t>
            </w:r>
          </w:p>
        </w:tc>
        <w:tc>
          <w:tcPr>
            <w:tcW w:w="750"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每年一次</w:t>
            </w:r>
          </w:p>
        </w:tc>
        <w:tc>
          <w:tcPr>
            <w:tcW w:w="1014"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lang w:val="en-US" w:eastAsia="en-US" w:bidi="en-US"/>
              </w:rPr>
            </w:pPr>
          </w:p>
        </w:tc>
        <w:tc>
          <w:tcPr>
            <w:tcW w:w="993" w:type="dxa"/>
            <w:shd w:val="clear" w:color="auto" w:fill="FFFFFF"/>
            <w:noWrap/>
            <w:vAlign w:val="center"/>
          </w:tcPr>
          <w:p>
            <w:pPr>
              <w:pStyle w:val="10"/>
              <w:snapToGrid w:val="0"/>
              <w:spacing w:line="240" w:lineRule="auto"/>
              <w:jc w:val="center"/>
              <w:rPr>
                <w:rFonts w:ascii="Times New Roman" w:hAnsi="Times New Roman" w:eastAsia="Times New Roman" w:cs="Times New Roman"/>
                <w:color w:val="auto"/>
                <w:sz w:val="18"/>
                <w:szCs w:val="18"/>
                <w:lang w:val="en-US" w:eastAsia="en-US" w:bidi="en-US"/>
              </w:rPr>
            </w:pPr>
            <w:r>
              <w:rPr>
                <w:rFonts w:ascii="Times New Roman" w:hAnsi="Times New Roman" w:eastAsia="Times New Roman" w:cs="Times New Roman"/>
                <w:color w:val="auto"/>
                <w:sz w:val="18"/>
                <w:szCs w:val="18"/>
                <w:lang w:val="en-US" w:eastAsia="en-US" w:bidi="en-US"/>
              </w:rPr>
              <w:t>3.2.2</w:t>
            </w:r>
          </w:p>
        </w:tc>
        <w:tc>
          <w:tcPr>
            <w:tcW w:w="980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在用场(厂)内专用机动车辆的全面检查，除包括自行检查的内容外，还应当包括主要受力结构件的变形、裂纹、腐蚀，以及其焊缝、節钉、螺栓等的连接，主要零部件的变形、裂纹、磨损，指示装置的可靠性和精度，电气和控制系统功能的检查，必要时还需要进行相关的载荷试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91"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定期(含首次</w:t>
            </w:r>
            <w:r>
              <w:rPr>
                <w:rFonts w:ascii="Times New Roman" w:hAnsi="Times New Roman" w:cs="Times New Roman"/>
                <w:color w:val="auto"/>
                <w:sz w:val="18"/>
                <w:szCs w:val="18"/>
                <w:lang w:val="en-US" w:eastAsia="zh-CN"/>
              </w:rPr>
              <w:t>)</w:t>
            </w:r>
            <w:r>
              <w:rPr>
                <w:rFonts w:ascii="Times New Roman" w:hAnsi="Times New Roman" w:cs="Times New Roman"/>
                <w:color w:val="auto"/>
                <w:sz w:val="18"/>
                <w:szCs w:val="18"/>
              </w:rPr>
              <w:t>检验</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检验</w:t>
            </w:r>
          </w:p>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lang w:eastAsia="zh-CN"/>
              </w:rPr>
              <w:t>机构</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rPr>
            </w:pPr>
            <w:r>
              <w:rPr>
                <w:rFonts w:ascii="Times New Roman" w:hAnsi="Times New Roman" w:cs="Times New Roman"/>
                <w:color w:val="auto"/>
                <w:sz w:val="18"/>
                <w:szCs w:val="18"/>
              </w:rPr>
              <w:t>有资质检验人员</w:t>
            </w:r>
          </w:p>
        </w:tc>
        <w:tc>
          <w:tcPr>
            <w:tcW w:w="750"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每年一次</w:t>
            </w:r>
          </w:p>
        </w:tc>
        <w:tc>
          <w:tcPr>
            <w:tcW w:w="1014" w:type="dxa"/>
            <w:vMerge w:val="continue"/>
            <w:shd w:val="clear" w:color="auto" w:fill="FFFFFF"/>
            <w:noWrap/>
            <w:vAlign w:val="center"/>
          </w:tcPr>
          <w:p>
            <w:pPr>
              <w:pStyle w:val="10"/>
              <w:snapToGrid w:val="0"/>
              <w:spacing w:line="240" w:lineRule="auto"/>
              <w:rPr>
                <w:rFonts w:ascii="Times New Roman" w:hAnsi="Times New Roman" w:cs="Times New Roman"/>
                <w:color w:val="auto"/>
                <w:sz w:val="18"/>
                <w:szCs w:val="18"/>
                <w:lang w:val="en-US" w:eastAsia="en-US" w:bidi="en-US"/>
              </w:rPr>
            </w:pPr>
          </w:p>
        </w:tc>
        <w:tc>
          <w:tcPr>
            <w:tcW w:w="993" w:type="dxa"/>
            <w:shd w:val="clear" w:color="auto" w:fill="FFFFFF"/>
            <w:noWrap/>
            <w:vAlign w:val="center"/>
          </w:tcPr>
          <w:p>
            <w:pPr>
              <w:pStyle w:val="10"/>
              <w:snapToGrid w:val="0"/>
              <w:spacing w:line="240" w:lineRule="auto"/>
              <w:jc w:val="center"/>
              <w:rPr>
                <w:rFonts w:ascii="Times New Roman" w:hAnsi="Times New Roman" w:eastAsia="Times New Roman" w:cs="Times New Roman"/>
                <w:color w:val="auto"/>
                <w:sz w:val="18"/>
                <w:szCs w:val="18"/>
                <w:lang w:val="en-US" w:eastAsia="en-US" w:bidi="en-US"/>
              </w:rPr>
            </w:pPr>
            <w:r>
              <w:rPr>
                <w:rFonts w:ascii="Times New Roman" w:hAnsi="Times New Roman" w:eastAsia="Times New Roman" w:cs="Times New Roman"/>
                <w:color w:val="auto"/>
                <w:sz w:val="18"/>
                <w:szCs w:val="18"/>
                <w:lang w:val="en-US" w:eastAsia="en-US" w:bidi="en-US"/>
              </w:rPr>
              <w:t>4.4</w:t>
            </w:r>
          </w:p>
        </w:tc>
        <w:tc>
          <w:tcPr>
            <w:tcW w:w="9805" w:type="dxa"/>
            <w:shd w:val="clear" w:color="auto" w:fill="FFFFFF"/>
            <w:noWrap/>
            <w:vAlign w:val="center"/>
          </w:tcPr>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首次检验，是指在场车使用单位进行自行检查合格的基础上，由特种设备检验机构在场车首次投入使用前或者改造后进行的检验。首次检验</w:t>
            </w:r>
            <w:r>
              <w:rPr>
                <w:rFonts w:ascii="Times New Roman" w:hAnsi="Times New Roman" w:cs="Times New Roman"/>
                <w:color w:val="auto"/>
                <w:sz w:val="18"/>
                <w:szCs w:val="18"/>
                <w:lang w:eastAsia="zh-CN"/>
              </w:rPr>
              <w:t>项目</w:t>
            </w:r>
            <w:r>
              <w:rPr>
                <w:rFonts w:ascii="Times New Roman" w:hAnsi="Times New Roman" w:cs="Times New Roman"/>
                <w:color w:val="auto"/>
                <w:sz w:val="18"/>
                <w:szCs w:val="18"/>
              </w:rPr>
              <w:t>由检验机构按照</w:t>
            </w:r>
            <w:r>
              <w:rPr>
                <w:rFonts w:ascii="Times New Roman" w:hAnsi="Times New Roman" w:eastAsia="Times New Roman" w:cs="Times New Roman"/>
                <w:color w:val="auto"/>
                <w:sz w:val="18"/>
                <w:szCs w:val="18"/>
                <w:lang w:val="en-US" w:eastAsia="zh-CN" w:bidi="en-US"/>
              </w:rPr>
              <w:t>TSG N0001-</w:t>
            </w:r>
            <w:r>
              <w:rPr>
                <w:rFonts w:ascii="Times New Roman" w:hAnsi="Times New Roman" w:eastAsia="Times New Roman" w:cs="Times New Roman"/>
                <w:color w:val="auto"/>
                <w:sz w:val="18"/>
                <w:szCs w:val="18"/>
              </w:rPr>
              <w:t>2017</w:t>
            </w:r>
            <w:r>
              <w:rPr>
                <w:rFonts w:ascii="Times New Roman" w:hAnsi="Times New Roman" w:cs="Times New Roman"/>
                <w:color w:val="auto"/>
                <w:sz w:val="18"/>
                <w:szCs w:val="18"/>
              </w:rPr>
              <w:t>要求确定。</w:t>
            </w:r>
          </w:p>
          <w:p>
            <w:pPr>
              <w:pStyle w:val="10"/>
              <w:snapToGrid w:val="0"/>
              <w:spacing w:line="240" w:lineRule="auto"/>
              <w:rPr>
                <w:rFonts w:ascii="Times New Roman" w:hAnsi="Times New Roman" w:cs="Times New Roman"/>
                <w:color w:val="auto"/>
                <w:sz w:val="18"/>
                <w:szCs w:val="18"/>
              </w:rPr>
            </w:pPr>
            <w:r>
              <w:rPr>
                <w:rFonts w:ascii="Times New Roman" w:hAnsi="Times New Roman" w:cs="Times New Roman"/>
                <w:color w:val="auto"/>
                <w:sz w:val="18"/>
                <w:szCs w:val="18"/>
              </w:rPr>
              <w:t>定期检验，是指在场车使用单位进行经常性维护保养和自行检查合格的基础上，特种设备检验机构对纳入使用登记的在用场车按照规定周期(每年</w:t>
            </w:r>
            <w:r>
              <w:rPr>
                <w:rFonts w:ascii="Times New Roman" w:hAnsi="Times New Roman" w:eastAsia="Times New Roman" w:cs="Times New Roman"/>
                <w:color w:val="auto"/>
                <w:sz w:val="18"/>
                <w:szCs w:val="18"/>
              </w:rPr>
              <w:t>1</w:t>
            </w:r>
            <w:r>
              <w:rPr>
                <w:rFonts w:ascii="Times New Roman" w:hAnsi="Times New Roman" w:cs="Times New Roman"/>
                <w:color w:val="auto"/>
                <w:sz w:val="18"/>
                <w:szCs w:val="18"/>
              </w:rPr>
              <w:t>次)进行的检验。</w:t>
            </w:r>
            <w:r>
              <w:rPr>
                <w:rFonts w:ascii="Times New Roman" w:hAnsi="Times New Roman" w:cs="Times New Roman"/>
                <w:color w:val="auto"/>
                <w:sz w:val="18"/>
                <w:szCs w:val="18"/>
                <w:lang w:eastAsia="zh-CN"/>
              </w:rPr>
              <w:t>定期</w:t>
            </w:r>
            <w:r>
              <w:rPr>
                <w:rFonts w:ascii="Times New Roman" w:hAnsi="Times New Roman" w:cs="Times New Roman"/>
                <w:color w:val="auto"/>
                <w:sz w:val="18"/>
                <w:szCs w:val="18"/>
              </w:rPr>
              <w:t>检验</w:t>
            </w:r>
            <w:r>
              <w:rPr>
                <w:rFonts w:ascii="Times New Roman" w:hAnsi="Times New Roman" w:cs="Times New Roman"/>
                <w:color w:val="auto"/>
                <w:sz w:val="18"/>
                <w:szCs w:val="18"/>
                <w:lang w:eastAsia="zh-CN"/>
              </w:rPr>
              <w:t>项目</w:t>
            </w:r>
            <w:r>
              <w:rPr>
                <w:rFonts w:ascii="Times New Roman" w:hAnsi="Times New Roman" w:cs="Times New Roman"/>
                <w:color w:val="auto"/>
                <w:sz w:val="18"/>
                <w:szCs w:val="18"/>
              </w:rPr>
              <w:t>由检验机构按照</w:t>
            </w:r>
            <w:r>
              <w:rPr>
                <w:rFonts w:ascii="Times New Roman" w:hAnsi="Times New Roman" w:eastAsia="Times New Roman" w:cs="Times New Roman"/>
                <w:color w:val="auto"/>
                <w:sz w:val="18"/>
                <w:szCs w:val="18"/>
                <w:lang w:val="en-US" w:eastAsia="zh-CN" w:bidi="en-US"/>
              </w:rPr>
              <w:t>TSG N0001-</w:t>
            </w:r>
            <w:r>
              <w:rPr>
                <w:rFonts w:ascii="Times New Roman" w:hAnsi="Times New Roman" w:eastAsia="Times New Roman" w:cs="Times New Roman"/>
                <w:color w:val="auto"/>
                <w:sz w:val="18"/>
                <w:szCs w:val="18"/>
              </w:rPr>
              <w:t>2017</w:t>
            </w:r>
            <w:r>
              <w:rPr>
                <w:rFonts w:ascii="Times New Roman" w:hAnsi="Times New Roman" w:cs="Times New Roman"/>
                <w:color w:val="auto"/>
                <w:sz w:val="18"/>
                <w:szCs w:val="18"/>
              </w:rPr>
              <w:t>要求确定。</w:t>
            </w:r>
          </w:p>
          <w:p>
            <w:pPr>
              <w:pStyle w:val="10"/>
              <w:snapToGrid w:val="0"/>
              <w:spacing w:line="240" w:lineRule="auto"/>
              <w:rPr>
                <w:rFonts w:ascii="Times New Roman" w:hAnsi="Times New Roman"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53" w:hRule="exact"/>
          <w:jc w:val="center"/>
        </w:trPr>
        <w:tc>
          <w:tcPr>
            <w:tcW w:w="1004"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日常巡查</w:t>
            </w:r>
          </w:p>
        </w:tc>
        <w:tc>
          <w:tcPr>
            <w:tcW w:w="659"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使用</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单位</w:t>
            </w:r>
          </w:p>
        </w:tc>
        <w:tc>
          <w:tcPr>
            <w:tcW w:w="738"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作业</w:t>
            </w:r>
          </w:p>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人员</w:t>
            </w:r>
          </w:p>
        </w:tc>
        <w:tc>
          <w:tcPr>
            <w:tcW w:w="750"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每日一次</w:t>
            </w:r>
          </w:p>
        </w:tc>
        <w:tc>
          <w:tcPr>
            <w:tcW w:w="1014" w:type="dxa"/>
            <w:shd w:val="clear" w:color="auto" w:fill="FFFFFF"/>
            <w:noWrap/>
            <w:vAlign w:val="center"/>
          </w:tcPr>
          <w:p>
            <w:pPr>
              <w:pStyle w:val="10"/>
              <w:snapToGrid w:val="0"/>
              <w:spacing w:line="240" w:lineRule="auto"/>
              <w:jc w:val="center"/>
              <w:rPr>
                <w:rFonts w:ascii="Times New Roman" w:hAnsi="Times New Roman" w:eastAsia="Times New Roman" w:cs="Times New Roman"/>
                <w:color w:val="auto"/>
                <w:sz w:val="18"/>
                <w:szCs w:val="18"/>
                <w:lang w:val="en-US" w:eastAsia="zh-CN" w:bidi="en-US"/>
              </w:rPr>
            </w:pPr>
            <w:r>
              <w:rPr>
                <w:rFonts w:ascii="Times New Roman" w:hAnsi="Times New Roman" w:eastAsia="Times New Roman" w:cs="Times New Roman"/>
                <w:color w:val="auto"/>
                <w:sz w:val="18"/>
                <w:szCs w:val="18"/>
                <w:lang w:val="en-US" w:eastAsia="zh-CN" w:bidi="en-US"/>
              </w:rPr>
              <w:t>——</w:t>
            </w:r>
          </w:p>
        </w:tc>
        <w:tc>
          <w:tcPr>
            <w:tcW w:w="993" w:type="dxa"/>
            <w:shd w:val="clear" w:color="auto" w:fill="FFFFFF"/>
            <w:noWrap/>
            <w:vAlign w:val="center"/>
          </w:tcPr>
          <w:p>
            <w:pPr>
              <w:pStyle w:val="10"/>
              <w:snapToGrid w:val="0"/>
              <w:spacing w:line="240" w:lineRule="auto"/>
              <w:jc w:val="center"/>
              <w:rPr>
                <w:rFonts w:ascii="Times New Roman" w:hAnsi="Times New Roman" w:cs="Times New Roman"/>
                <w:color w:val="auto"/>
                <w:sz w:val="18"/>
                <w:szCs w:val="18"/>
                <w:lang w:val="en-US" w:eastAsia="zh-CN"/>
              </w:rPr>
            </w:pPr>
            <w:r>
              <w:rPr>
                <w:rFonts w:ascii="Times New Roman" w:hAnsi="Times New Roman" w:eastAsia="Times New Roman" w:cs="Times New Roman"/>
                <w:color w:val="auto"/>
                <w:sz w:val="18"/>
                <w:szCs w:val="18"/>
                <w:lang w:val="en-US" w:eastAsia="zh-CN" w:bidi="en-US"/>
              </w:rPr>
              <w:t>——</w:t>
            </w:r>
          </w:p>
        </w:tc>
        <w:tc>
          <w:tcPr>
            <w:tcW w:w="9805" w:type="dxa"/>
            <w:shd w:val="clear" w:color="auto" w:fill="FFFFFF"/>
            <w:noWrap/>
            <w:vAlign w:val="center"/>
          </w:tcPr>
          <w:p>
            <w:pPr>
              <w:pStyle w:val="10"/>
              <w:snapToGrid w:val="0"/>
              <w:spacing w:line="240" w:lineRule="auto"/>
              <w:rPr>
                <w:rFonts w:ascii="Times New Roman" w:hAnsi="Times New Roman" w:cs="Times New Roman"/>
                <w:color w:val="auto"/>
                <w:sz w:val="18"/>
                <w:szCs w:val="18"/>
                <w:lang w:eastAsia="zh-CN"/>
              </w:rPr>
            </w:pPr>
            <w:r>
              <w:rPr>
                <w:rFonts w:ascii="Times New Roman" w:hAnsi="Times New Roman" w:cs="Times New Roman"/>
                <w:color w:val="auto"/>
                <w:sz w:val="18"/>
                <w:szCs w:val="18"/>
                <w:lang w:eastAsia="zh-CN"/>
              </w:rPr>
              <w:t>见附表1。</w:t>
            </w:r>
          </w:p>
        </w:tc>
      </w:tr>
    </w:tbl>
    <w:p>
      <w:pPr>
        <w:pStyle w:val="9"/>
        <w:snapToGrid w:val="0"/>
        <w:spacing w:line="240" w:lineRule="auto"/>
        <w:jc w:val="center"/>
        <w:rPr>
          <w:rFonts w:ascii="Times New Roman" w:hAnsi="Times New Roman" w:cs="Times New Roman"/>
          <w:color w:val="auto"/>
          <w:sz w:val="18"/>
          <w:szCs w:val="18"/>
          <w:lang w:eastAsia="zh-CN"/>
        </w:rPr>
        <w:sectPr>
          <w:headerReference r:id="rId39" w:type="first"/>
          <w:headerReference r:id="rId37" w:type="default"/>
          <w:headerReference r:id="rId38" w:type="even"/>
          <w:footerReference r:id="rId40" w:type="even"/>
          <w:pgSz w:w="16840" w:h="11900" w:orient="landscape"/>
          <w:pgMar w:top="1134" w:right="1134" w:bottom="1134" w:left="1134" w:header="851" w:footer="851" w:gutter="0"/>
          <w:pgNumType w:fmt="numberInDash"/>
          <w:cols w:space="720" w:num="1"/>
          <w:docGrid w:linePitch="360" w:charSpace="0"/>
        </w:sectPr>
      </w:pPr>
    </w:p>
    <w:p>
      <w:pPr>
        <w:pStyle w:val="10"/>
        <w:snapToGrid w:val="0"/>
        <w:spacing w:line="240" w:lineRule="auto"/>
        <w:jc w:val="center"/>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附表1  场(厂)内专用机动车辆日常巡查内容</w:t>
      </w:r>
    </w:p>
    <w:tbl>
      <w:tblPr>
        <w:tblStyle w:val="8"/>
        <w:tblW w:w="9645" w:type="dxa"/>
        <w:jc w:val="center"/>
        <w:tblInd w:w="-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582"/>
        <w:gridCol w:w="709"/>
        <w:gridCol w:w="83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30" w:hRule="exact"/>
          <w:jc w:val="center"/>
        </w:trPr>
        <w:tc>
          <w:tcPr>
            <w:tcW w:w="582" w:type="dxa"/>
            <w:shd w:val="clear" w:color="auto" w:fill="FFFFFF"/>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序号</w:t>
            </w:r>
          </w:p>
        </w:tc>
        <w:tc>
          <w:tcPr>
            <w:tcW w:w="9063" w:type="dxa"/>
            <w:gridSpan w:val="2"/>
            <w:shd w:val="clear" w:color="auto" w:fill="FFFFFF"/>
            <w:noWrap/>
            <w:vAlign w:val="center"/>
          </w:tcPr>
          <w:p>
            <w:pPr>
              <w:pStyle w:val="4"/>
              <w:adjustRightInd w:val="0"/>
              <w:snapToGrid w:val="0"/>
              <w:jc w:val="center"/>
              <w:rPr>
                <w:rFonts w:ascii="Times New Roman" w:hAnsi="Times New Roman" w:eastAsia="黑体" w:cs="Times New Roman"/>
                <w:b/>
                <w:color w:val="auto"/>
                <w:kern w:val="0"/>
                <w:sz w:val="18"/>
              </w:rPr>
            </w:pPr>
            <w:r>
              <w:rPr>
                <w:rFonts w:ascii="Times New Roman" w:hAnsi="Times New Roman" w:eastAsia="黑体" w:cs="Times New Roman"/>
                <w:b/>
                <w:color w:val="auto"/>
                <w:kern w:val="0"/>
                <w:sz w:val="18"/>
              </w:rPr>
              <w:t>巡查项目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73"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w:t>
            </w:r>
          </w:p>
        </w:tc>
        <w:tc>
          <w:tcPr>
            <w:tcW w:w="709"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技术</w:t>
            </w:r>
          </w:p>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资料</w:t>
            </w:r>
          </w:p>
        </w:tc>
        <w:tc>
          <w:tcPr>
            <w:tcW w:w="8354" w:type="dxa"/>
            <w:shd w:val="clear" w:color="auto" w:fill="FFFFFF"/>
            <w:noWrap/>
            <w:vAlign w:val="center"/>
          </w:tcPr>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上周期检验报告、使用记录(包括至少每月进行一次日常维护保养和自行检查记录、每年一次全面检查记录、使用前记录、故障记录等)和自检报告保存完好，悬挂好国家统一制定的牌照。</w:t>
            </w:r>
          </w:p>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修理设备还需保存修理单位的许可证、修理单位出具的自检报告等。制定安全操作规程，包括系安全带、转弯减速、下坡减速和超高限速等要求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318"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2</w:t>
            </w:r>
          </w:p>
        </w:tc>
        <w:tc>
          <w:tcPr>
            <w:tcW w:w="709"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结构</w:t>
            </w:r>
          </w:p>
        </w:tc>
        <w:tc>
          <w:tcPr>
            <w:tcW w:w="8354" w:type="dxa"/>
            <w:shd w:val="clear" w:color="auto" w:fill="FFFFFF"/>
            <w:noWrap/>
            <w:vAlign w:val="center"/>
          </w:tcPr>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叉车结构型式没有发生变化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01"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3</w:t>
            </w:r>
          </w:p>
        </w:tc>
        <w:tc>
          <w:tcPr>
            <w:tcW w:w="709"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参数</w:t>
            </w:r>
          </w:p>
        </w:tc>
        <w:tc>
          <w:tcPr>
            <w:tcW w:w="8354" w:type="dxa"/>
            <w:shd w:val="clear" w:color="auto" w:fill="FFFFFF"/>
            <w:noWrap/>
            <w:vAlign w:val="center"/>
          </w:tcPr>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主要参数未发生变化：能起升额定起重量，且主要受力结构无明显变形、裂纹、腐蚀，及焊缝、铆钉、螺栓连接完好等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29"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4</w:t>
            </w:r>
          </w:p>
        </w:tc>
        <w:tc>
          <w:tcPr>
            <w:tcW w:w="709"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整车外观检查</w:t>
            </w:r>
          </w:p>
        </w:tc>
        <w:tc>
          <w:tcPr>
            <w:tcW w:w="8354" w:type="dxa"/>
            <w:shd w:val="clear" w:color="auto" w:fill="FFFFFF"/>
            <w:noWrap/>
            <w:vAlign w:val="center"/>
          </w:tcPr>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发动机、车架易见部位应具有永久清晰字样的编号。叉车应车容整洁，各零部件完好，连接紧固，无缺损。</w:t>
            </w:r>
          </w:p>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气压、机油压力、水温、燃油量、电压等仪表完好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866"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5</w:t>
            </w:r>
          </w:p>
        </w:tc>
        <w:tc>
          <w:tcPr>
            <w:tcW w:w="709"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铭牌</w:t>
            </w:r>
          </w:p>
        </w:tc>
        <w:tc>
          <w:tcPr>
            <w:tcW w:w="8354" w:type="dxa"/>
            <w:shd w:val="clear" w:color="auto" w:fill="FFFFFF"/>
            <w:noWrap/>
            <w:vAlign w:val="center"/>
          </w:tcPr>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铭牌置于场车的显著位置。</w:t>
            </w:r>
          </w:p>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铭牌信息齐全。同时注明“本车仅限在工厂厂区、旅游景区、游乐场所使用”。</w:t>
            </w:r>
          </w:p>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改造后的铭牌，相关变化的信息应齐全。</w:t>
            </w:r>
          </w:p>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安全警示标志及说明，应当置于叉车的显著位置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4"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6</w:t>
            </w:r>
          </w:p>
        </w:tc>
        <w:tc>
          <w:tcPr>
            <w:tcW w:w="709"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动力系统检查</w:t>
            </w:r>
          </w:p>
        </w:tc>
        <w:tc>
          <w:tcPr>
            <w:tcW w:w="8354" w:type="dxa"/>
            <w:shd w:val="clear" w:color="auto" w:fill="FFFFFF"/>
            <w:noWrap/>
            <w:vAlign w:val="center"/>
          </w:tcPr>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发动机安装牢固可靠；性能良好，运转平稳，没有异响，正常起动、熄火；</w:t>
            </w:r>
          </w:p>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防止罩壳意外关闭的装置完好；内燃叉车应当选用国三标准发动机；蓄电池安全距离符合要求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32"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7</w:t>
            </w:r>
          </w:p>
        </w:tc>
        <w:tc>
          <w:tcPr>
            <w:tcW w:w="709"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传动系统检查</w:t>
            </w:r>
          </w:p>
        </w:tc>
        <w:tc>
          <w:tcPr>
            <w:tcW w:w="8354" w:type="dxa"/>
            <w:shd w:val="clear" w:color="auto" w:fill="FFFFFF"/>
            <w:noWrap/>
            <w:vAlign w:val="center"/>
          </w:tcPr>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运转平稳，无松旷，行驶中无抖动、无异响，变速箱不应有脱档、串档现象。</w:t>
            </w:r>
          </w:p>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静压传动叉车，只有处于制动状态时才能启动发动机。</w:t>
            </w:r>
          </w:p>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内燃叉车，应当配备在传动装置处于接合状态时，能防止发动机启动的装置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38"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8</w:t>
            </w:r>
          </w:p>
        </w:tc>
        <w:tc>
          <w:tcPr>
            <w:tcW w:w="709"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行驶系统检查</w:t>
            </w:r>
          </w:p>
        </w:tc>
        <w:tc>
          <w:tcPr>
            <w:tcW w:w="8354" w:type="dxa"/>
            <w:shd w:val="clear" w:color="auto" w:fill="FFFFFF"/>
            <w:noWrap/>
            <w:vAlign w:val="center"/>
          </w:tcPr>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车架和前后桥不得有变形、裂纹，连接应紧固；</w:t>
            </w:r>
          </w:p>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同一桥上的车轮装用同型号、同花纹的轮胎，充气轮胎气压满足要求；</w:t>
            </w:r>
          </w:p>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轮網应完整无损，螺栓、螺母应齐全紧固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702"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9</w:t>
            </w:r>
          </w:p>
        </w:tc>
        <w:tc>
          <w:tcPr>
            <w:tcW w:w="709"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转向与操纵系统检查</w:t>
            </w:r>
          </w:p>
        </w:tc>
        <w:tc>
          <w:tcPr>
            <w:tcW w:w="8354" w:type="dxa"/>
            <w:shd w:val="clear" w:color="auto" w:fill="FFFFFF"/>
            <w:noWrap/>
            <w:vAlign w:val="center"/>
          </w:tcPr>
          <w:p>
            <w:pPr>
              <w:pStyle w:val="4"/>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Times New Roman" w:hAnsi="Times New Roman" w:cs="Times New Roman"/>
                <w:color w:val="auto"/>
                <w:kern w:val="0"/>
                <w:sz w:val="18"/>
              </w:rPr>
            </w:pPr>
            <w:r>
              <w:rPr>
                <w:rFonts w:ascii="Times New Roman" w:hAnsi="Times New Roman" w:cs="Times New Roman"/>
                <w:color w:val="auto"/>
                <w:kern w:val="0"/>
                <w:sz w:val="18"/>
              </w:rPr>
              <w:t>转向机构无缺油、漏油，固定托架牢固，转向垂臂、横向拉杆等转向零件无变形、裂纹;球形节、转向主销与衬套配合松紧适度，润滑良好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45"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10</w:t>
            </w:r>
          </w:p>
        </w:tc>
        <w:tc>
          <w:tcPr>
            <w:tcW w:w="709"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液压系统检查</w:t>
            </w:r>
          </w:p>
        </w:tc>
        <w:tc>
          <w:tcPr>
            <w:tcW w:w="8354"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系统有良好的密封性能，系统无明显漏油现象等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42"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11</w:t>
            </w:r>
          </w:p>
        </w:tc>
        <w:tc>
          <w:tcPr>
            <w:tcW w:w="709"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制动系统检查</w:t>
            </w:r>
          </w:p>
        </w:tc>
        <w:tc>
          <w:tcPr>
            <w:tcW w:w="8354"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具有可靠的行车、驻车制动系统，并且设置相应的制动装置。行车制动与驻车制动的控制装置相互独立(适用于座驾式叉车)。 液压式制动器，在踩下制动踏板并停留1 min，踏板没有下行现象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003"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12</w:t>
            </w:r>
          </w:p>
        </w:tc>
        <w:tc>
          <w:tcPr>
            <w:tcW w:w="709"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电气和控制系统检查</w:t>
            </w:r>
          </w:p>
        </w:tc>
        <w:tc>
          <w:tcPr>
            <w:tcW w:w="8354"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叉车的启动设置开关装置，需要由钥匙、密码或者磁卡等才能启动。平衡重式叉车设置前照灯、制动灯、转向灯等照明和信号装置。 所有灯光开关安装牢固，开启、关闭自如。</w:t>
            </w:r>
          </w:p>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蓄电池叉车的控制系统具有欠电压、过电流、过热和过电压保护功能。蓄电池叉车设置非自动复位且能切断总控制电源的紧急断电开关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951"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13</w:t>
            </w:r>
          </w:p>
        </w:tc>
        <w:tc>
          <w:tcPr>
            <w:tcW w:w="709"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工作装置检查</w:t>
            </w:r>
          </w:p>
        </w:tc>
        <w:tc>
          <w:tcPr>
            <w:tcW w:w="8354"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叉车设置防止货叉意外侧向滑移和脱落的装置。 货叉没有裂纹，如发现货叉表面有裂纹，停止使用。</w:t>
            </w:r>
          </w:p>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货叉两叉尖高度差不超过水平段长度的3%。</w:t>
            </w:r>
          </w:p>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货叉水平段和垂直段的厚度没有小于原值的90%及以下。</w:t>
            </w:r>
          </w:p>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操纵手柄(杆)无变形，轻便灵活，工作可靠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1907"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14</w:t>
            </w:r>
          </w:p>
        </w:tc>
        <w:tc>
          <w:tcPr>
            <w:tcW w:w="709"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安全保护与防护装置检查</w:t>
            </w:r>
          </w:p>
        </w:tc>
        <w:tc>
          <w:tcPr>
            <w:tcW w:w="8354"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叉车设置后视镜。</w:t>
            </w:r>
          </w:p>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座驾式叉车的驾驶人员位置上配备安全带等防护约束装置。</w:t>
            </w:r>
          </w:p>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设置下降限速装置、门架前倾自锁装置，如采用软管连接，有防止爆管装置。</w:t>
            </w:r>
          </w:p>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起升装置设置防止越程装置和限位器，设置车轮有防护装置。</w:t>
            </w:r>
          </w:p>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，如设置挡货架，挡货架上开口的两个尺寸中应有一个尺寸不大于150 mm</w:t>
            </w:r>
          </w:p>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起升高度大于1800mm的乘驾式叉车，设置护顶架；护顶架无裂纹，没有发生永久性的变形现象</w:t>
            </w:r>
          </w:p>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设置能够发出清晰声响的警示装置(如喇叭)。</w:t>
            </w:r>
          </w:p>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对步驾式叉车，舵柄配备一种防护装置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568"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15</w:t>
            </w:r>
          </w:p>
        </w:tc>
        <w:tc>
          <w:tcPr>
            <w:tcW w:w="709"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转向性能试验</w:t>
            </w:r>
          </w:p>
        </w:tc>
        <w:tc>
          <w:tcPr>
            <w:tcW w:w="8354"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动力转向的叉车，作用在方向盘上的手操作力在6 N</w:t>
            </w:r>
            <w:r>
              <w:rPr>
                <w:rFonts w:ascii="Times New Roman" w:hAnsi="Times New Roman" w:eastAsia="微软雅黑" w:cs="Times New Roman"/>
                <w:color w:val="auto"/>
                <w:kern w:val="0"/>
                <w:sz w:val="18"/>
              </w:rPr>
              <w:t>〜</w:t>
            </w:r>
            <w:r>
              <w:rPr>
                <w:rFonts w:ascii="Times New Roman" w:hAnsi="Times New Roman" w:cs="Times New Roman"/>
                <w:color w:val="auto"/>
                <w:kern w:val="0"/>
                <w:sz w:val="18"/>
              </w:rPr>
              <w:t>20 N；左右转向作用力相差符合要求。转向系统转动灵活、操纵方便、无卡滞，具有良好的直线行驶性能，在任意转向操作时不与其他部件有干涉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612"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16</w:t>
            </w:r>
          </w:p>
        </w:tc>
        <w:tc>
          <w:tcPr>
            <w:tcW w:w="709"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制动性能试验</w:t>
            </w:r>
          </w:p>
        </w:tc>
        <w:tc>
          <w:tcPr>
            <w:tcW w:w="8354"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行车制动器和驻车制动器的性能、作用力等符合相关要求。行车制动器在第一次采取制动措施时就达到最大的制动效能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Ex>
        <w:trPr>
          <w:trHeight w:val="421" w:hRule="exact"/>
          <w:jc w:val="center"/>
        </w:trPr>
        <w:tc>
          <w:tcPr>
            <w:tcW w:w="582"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17</w:t>
            </w:r>
          </w:p>
        </w:tc>
        <w:tc>
          <w:tcPr>
            <w:tcW w:w="709" w:type="dxa"/>
            <w:shd w:val="clear" w:color="auto" w:fill="FFFFFF"/>
            <w:noWrap/>
            <w:vAlign w:val="center"/>
          </w:tcPr>
          <w:p>
            <w:pPr>
              <w:pStyle w:val="4"/>
              <w:adjustRightInd w:val="0"/>
              <w:snapToGrid w:val="0"/>
              <w:jc w:val="center"/>
              <w:rPr>
                <w:rFonts w:ascii="Times New Roman" w:hAnsi="Times New Roman" w:cs="Times New Roman"/>
                <w:color w:val="auto"/>
                <w:kern w:val="0"/>
                <w:sz w:val="18"/>
              </w:rPr>
            </w:pPr>
            <w:r>
              <w:rPr>
                <w:rFonts w:ascii="Times New Roman" w:hAnsi="Times New Roman" w:cs="Times New Roman"/>
                <w:color w:val="auto"/>
                <w:kern w:val="0"/>
                <w:sz w:val="18"/>
              </w:rPr>
              <w:t>其他</w:t>
            </w:r>
          </w:p>
        </w:tc>
        <w:tc>
          <w:tcPr>
            <w:tcW w:w="8354" w:type="dxa"/>
            <w:shd w:val="clear" w:color="auto" w:fill="FFFFFF"/>
            <w:noWrap/>
            <w:vAlign w:val="center"/>
          </w:tcPr>
          <w:p>
            <w:pPr>
              <w:pStyle w:val="4"/>
              <w:adjustRightInd w:val="0"/>
              <w:snapToGrid w:val="0"/>
              <w:rPr>
                <w:rFonts w:ascii="Times New Roman" w:hAnsi="Times New Roman" w:cs="Times New Roman"/>
                <w:color w:val="auto"/>
                <w:kern w:val="0"/>
                <w:sz w:val="18"/>
              </w:rPr>
            </w:pPr>
            <w:r>
              <w:rPr>
                <w:rFonts w:ascii="Times New Roman" w:hAnsi="Times New Roman" w:cs="Times New Roman"/>
                <w:color w:val="auto"/>
                <w:kern w:val="0"/>
                <w:sz w:val="18"/>
              </w:rPr>
              <w:t>主要零部件无明显变形、裂纹、腐蚀，指示装置可靠等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4 -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5"/>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4 -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11 -</w:t>
    </w:r>
    <w:r>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44 -</w:t>
    </w:r>
    <w:r>
      <w:rPr>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F471A0"/>
    <w:multiLevelType w:val="singleLevel"/>
    <w:tmpl w:val="C1F471A0"/>
    <w:lvl w:ilvl="0" w:tentative="0">
      <w:start w:val="2"/>
      <w:numFmt w:val="decimal"/>
      <w:lvlText w:val="%1."/>
      <w:lvlJc w:val="left"/>
      <w:pPr>
        <w:tabs>
          <w:tab w:val="left" w:pos="312"/>
        </w:tabs>
      </w:pPr>
    </w:lvl>
  </w:abstractNum>
  <w:abstractNum w:abstractNumId="1">
    <w:nsid w:val="035B7BCB"/>
    <w:multiLevelType w:val="multilevel"/>
    <w:tmpl w:val="035B7BCB"/>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5A23A85"/>
    <w:multiLevelType w:val="multilevel"/>
    <w:tmpl w:val="05A23A85"/>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5AE18D9"/>
    <w:multiLevelType w:val="multilevel"/>
    <w:tmpl w:val="05AE18D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81D0160"/>
    <w:multiLevelType w:val="multilevel"/>
    <w:tmpl w:val="081D0160"/>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97B6874"/>
    <w:multiLevelType w:val="multilevel"/>
    <w:tmpl w:val="097B687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9B93FD0"/>
    <w:multiLevelType w:val="multilevel"/>
    <w:tmpl w:val="09B93FD0"/>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CE8426E"/>
    <w:multiLevelType w:val="multilevel"/>
    <w:tmpl w:val="0CE8426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D965C67"/>
    <w:multiLevelType w:val="multilevel"/>
    <w:tmpl w:val="0D965C67"/>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0EF036FC"/>
    <w:multiLevelType w:val="multilevel"/>
    <w:tmpl w:val="0EF036FC"/>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107E6B48"/>
    <w:multiLevelType w:val="multilevel"/>
    <w:tmpl w:val="107E6B48"/>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12545FD4"/>
    <w:multiLevelType w:val="multilevel"/>
    <w:tmpl w:val="12545FD4"/>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14577D4E"/>
    <w:multiLevelType w:val="multilevel"/>
    <w:tmpl w:val="14577D4E"/>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148D0F94"/>
    <w:multiLevelType w:val="multilevel"/>
    <w:tmpl w:val="148D0F94"/>
    <w:lvl w:ilvl="0" w:tentative="0">
      <w:start w:val="4"/>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14C27B34"/>
    <w:multiLevelType w:val="multilevel"/>
    <w:tmpl w:val="14C27B3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19714685"/>
    <w:multiLevelType w:val="multilevel"/>
    <w:tmpl w:val="19714685"/>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1CCB52AD"/>
    <w:multiLevelType w:val="multilevel"/>
    <w:tmpl w:val="1CCB52AD"/>
    <w:lvl w:ilvl="0" w:tentative="0">
      <w:start w:val="5"/>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24FE647B"/>
    <w:multiLevelType w:val="multilevel"/>
    <w:tmpl w:val="24FE647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292948CF"/>
    <w:multiLevelType w:val="multilevel"/>
    <w:tmpl w:val="292948CF"/>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29DE6BE9"/>
    <w:multiLevelType w:val="multilevel"/>
    <w:tmpl w:val="29DE6BE9"/>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2E1F0D03"/>
    <w:multiLevelType w:val="multilevel"/>
    <w:tmpl w:val="2E1F0D03"/>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2EA766FE"/>
    <w:multiLevelType w:val="multilevel"/>
    <w:tmpl w:val="2EA766F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2FBD2200"/>
    <w:multiLevelType w:val="multilevel"/>
    <w:tmpl w:val="2FBD2200"/>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33465462"/>
    <w:multiLevelType w:val="multilevel"/>
    <w:tmpl w:val="3346546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334F08CB"/>
    <w:multiLevelType w:val="multilevel"/>
    <w:tmpl w:val="334F08C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354E413B"/>
    <w:multiLevelType w:val="multilevel"/>
    <w:tmpl w:val="354E413B"/>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375E59A0"/>
    <w:multiLevelType w:val="multilevel"/>
    <w:tmpl w:val="375E59A0"/>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38723A1E"/>
    <w:multiLevelType w:val="multilevel"/>
    <w:tmpl w:val="38723A1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38AC5820"/>
    <w:multiLevelType w:val="multilevel"/>
    <w:tmpl w:val="38AC5820"/>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39C873A4"/>
    <w:multiLevelType w:val="multilevel"/>
    <w:tmpl w:val="39C873A4"/>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3E3700E9"/>
    <w:multiLevelType w:val="multilevel"/>
    <w:tmpl w:val="3E3700E9"/>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3F9B4BFE"/>
    <w:multiLevelType w:val="multilevel"/>
    <w:tmpl w:val="3F9B4BFE"/>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41E37482"/>
    <w:multiLevelType w:val="multilevel"/>
    <w:tmpl w:val="41E3748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42DC291C"/>
    <w:multiLevelType w:val="multilevel"/>
    <w:tmpl w:val="42DC291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43462736"/>
    <w:multiLevelType w:val="multilevel"/>
    <w:tmpl w:val="4346273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44497A12"/>
    <w:multiLevelType w:val="multilevel"/>
    <w:tmpl w:val="44497A1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4D3B065F"/>
    <w:multiLevelType w:val="multilevel"/>
    <w:tmpl w:val="4D3B065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4E1A7AE2"/>
    <w:multiLevelType w:val="multilevel"/>
    <w:tmpl w:val="4E1A7AE2"/>
    <w:lvl w:ilvl="0" w:tentative="0">
      <w:start w:val="6"/>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4F7A51A1"/>
    <w:multiLevelType w:val="multilevel"/>
    <w:tmpl w:val="4F7A51A1"/>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4F9D6F5A"/>
    <w:multiLevelType w:val="multilevel"/>
    <w:tmpl w:val="4F9D6F5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0">
    <w:nsid w:val="55061AB7"/>
    <w:multiLevelType w:val="multilevel"/>
    <w:tmpl w:val="55061AB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56F00368"/>
    <w:multiLevelType w:val="multilevel"/>
    <w:tmpl w:val="56F00368"/>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57D71C68"/>
    <w:multiLevelType w:val="multilevel"/>
    <w:tmpl w:val="57D71C6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3">
    <w:nsid w:val="58B448EE"/>
    <w:multiLevelType w:val="multilevel"/>
    <w:tmpl w:val="58B448E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5C3D69C9"/>
    <w:multiLevelType w:val="multilevel"/>
    <w:tmpl w:val="5C3D69C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5">
    <w:nsid w:val="67CC3EAD"/>
    <w:multiLevelType w:val="multilevel"/>
    <w:tmpl w:val="67CC3EAD"/>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6">
    <w:nsid w:val="6A0463A0"/>
    <w:multiLevelType w:val="multilevel"/>
    <w:tmpl w:val="6A0463A0"/>
    <w:lvl w:ilvl="0" w:tentative="0">
      <w:start w:val="1"/>
      <w:numFmt w:val="ideographDigit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7">
    <w:nsid w:val="6B13100E"/>
    <w:multiLevelType w:val="multilevel"/>
    <w:tmpl w:val="6B13100E"/>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71B1548C"/>
    <w:multiLevelType w:val="multilevel"/>
    <w:tmpl w:val="71B1548C"/>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9">
    <w:nsid w:val="72A56B6C"/>
    <w:multiLevelType w:val="multilevel"/>
    <w:tmpl w:val="72A56B6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0">
    <w:nsid w:val="740B2C9E"/>
    <w:multiLevelType w:val="multilevel"/>
    <w:tmpl w:val="740B2C9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1">
    <w:nsid w:val="74791E94"/>
    <w:multiLevelType w:val="multilevel"/>
    <w:tmpl w:val="74791E9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2">
    <w:nsid w:val="77332191"/>
    <w:multiLevelType w:val="multilevel"/>
    <w:tmpl w:val="7733219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3">
    <w:nsid w:val="77972C0E"/>
    <w:multiLevelType w:val="multilevel"/>
    <w:tmpl w:val="77972C0E"/>
    <w:lvl w:ilvl="0" w:tentative="0">
      <w:start w:val="4"/>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4">
    <w:nsid w:val="7D422252"/>
    <w:multiLevelType w:val="multilevel"/>
    <w:tmpl w:val="7D42225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5">
    <w:nsid w:val="7EB532BE"/>
    <w:multiLevelType w:val="multilevel"/>
    <w:tmpl w:val="7EB532B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6">
    <w:nsid w:val="7EBD71FD"/>
    <w:multiLevelType w:val="multilevel"/>
    <w:tmpl w:val="7EBD71FD"/>
    <w:lvl w:ilvl="0" w:tentative="0">
      <w:start w:val="1"/>
      <w:numFmt w:val="decimal"/>
      <w:lvlText w:val="(%1)"/>
      <w:lvlJc w:val="left"/>
      <w:rPr>
        <w:rFonts w:hint="default" w:ascii="Times New Roman" w:hAnsi="Times New Roman" w:eastAsia="宋体" w:cs="Times New Roman"/>
        <w:b w:val="0"/>
        <w:bCs w:val="0"/>
        <w:i w:val="0"/>
        <w:iCs w:val="0"/>
        <w:smallCaps w:val="0"/>
        <w:strike w:val="0"/>
        <w:color w:val="000000"/>
        <w:spacing w:val="0"/>
        <w:w w:val="100"/>
        <w:position w:val="0"/>
        <w:sz w:val="18"/>
        <w:szCs w:val="18"/>
        <w:u w:val="none"/>
        <w:shd w:val="clear" w:color="auto" w:fill="auto"/>
        <w:lang w:val="zh-TW" w:eastAsia="zh-TW" w:bidi="zh-TW"/>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6"/>
  </w:num>
  <w:num w:numId="3">
    <w:abstractNumId w:val="33"/>
  </w:num>
  <w:num w:numId="4">
    <w:abstractNumId w:val="55"/>
  </w:num>
  <w:num w:numId="5">
    <w:abstractNumId w:val="44"/>
  </w:num>
  <w:num w:numId="6">
    <w:abstractNumId w:val="35"/>
  </w:num>
  <w:num w:numId="7">
    <w:abstractNumId w:val="24"/>
  </w:num>
  <w:num w:numId="8">
    <w:abstractNumId w:val="27"/>
  </w:num>
  <w:num w:numId="9">
    <w:abstractNumId w:val="3"/>
  </w:num>
  <w:num w:numId="10">
    <w:abstractNumId w:val="1"/>
  </w:num>
  <w:num w:numId="11">
    <w:abstractNumId w:val="2"/>
  </w:num>
  <w:num w:numId="12">
    <w:abstractNumId w:val="19"/>
  </w:num>
  <w:num w:numId="13">
    <w:abstractNumId w:val="31"/>
  </w:num>
  <w:num w:numId="14">
    <w:abstractNumId w:val="9"/>
  </w:num>
  <w:num w:numId="15">
    <w:abstractNumId w:val="11"/>
  </w:num>
  <w:num w:numId="16">
    <w:abstractNumId w:val="7"/>
  </w:num>
  <w:num w:numId="17">
    <w:abstractNumId w:val="21"/>
  </w:num>
  <w:num w:numId="18">
    <w:abstractNumId w:val="49"/>
  </w:num>
  <w:num w:numId="19">
    <w:abstractNumId w:val="26"/>
  </w:num>
  <w:num w:numId="20">
    <w:abstractNumId w:val="53"/>
  </w:num>
  <w:num w:numId="21">
    <w:abstractNumId w:val="36"/>
  </w:num>
  <w:num w:numId="22">
    <w:abstractNumId w:val="42"/>
  </w:num>
  <w:num w:numId="23">
    <w:abstractNumId w:val="40"/>
  </w:num>
  <w:num w:numId="24">
    <w:abstractNumId w:val="30"/>
  </w:num>
  <w:num w:numId="25">
    <w:abstractNumId w:val="20"/>
  </w:num>
  <w:num w:numId="26">
    <w:abstractNumId w:val="12"/>
  </w:num>
  <w:num w:numId="27">
    <w:abstractNumId w:val="43"/>
  </w:num>
  <w:num w:numId="28">
    <w:abstractNumId w:val="8"/>
  </w:num>
  <w:num w:numId="29">
    <w:abstractNumId w:val="4"/>
  </w:num>
  <w:num w:numId="30">
    <w:abstractNumId w:val="10"/>
  </w:num>
  <w:num w:numId="31">
    <w:abstractNumId w:val="45"/>
  </w:num>
  <w:num w:numId="32">
    <w:abstractNumId w:val="41"/>
  </w:num>
  <w:num w:numId="33">
    <w:abstractNumId w:val="18"/>
  </w:num>
  <w:num w:numId="34">
    <w:abstractNumId w:val="39"/>
  </w:num>
  <w:num w:numId="35">
    <w:abstractNumId w:val="56"/>
  </w:num>
  <w:num w:numId="36">
    <w:abstractNumId w:val="54"/>
  </w:num>
  <w:num w:numId="37">
    <w:abstractNumId w:val="25"/>
  </w:num>
  <w:num w:numId="38">
    <w:abstractNumId w:val="17"/>
  </w:num>
  <w:num w:numId="39">
    <w:abstractNumId w:val="37"/>
  </w:num>
  <w:num w:numId="40">
    <w:abstractNumId w:val="52"/>
  </w:num>
  <w:num w:numId="41">
    <w:abstractNumId w:val="13"/>
  </w:num>
  <w:num w:numId="42">
    <w:abstractNumId w:val="32"/>
  </w:num>
  <w:num w:numId="43">
    <w:abstractNumId w:val="23"/>
  </w:num>
  <w:num w:numId="44">
    <w:abstractNumId w:val="50"/>
  </w:num>
  <w:num w:numId="45">
    <w:abstractNumId w:val="48"/>
  </w:num>
  <w:num w:numId="46">
    <w:abstractNumId w:val="46"/>
  </w:num>
  <w:num w:numId="47">
    <w:abstractNumId w:val="5"/>
  </w:num>
  <w:num w:numId="48">
    <w:abstractNumId w:val="38"/>
  </w:num>
  <w:num w:numId="49">
    <w:abstractNumId w:val="16"/>
  </w:num>
  <w:num w:numId="50">
    <w:abstractNumId w:val="34"/>
  </w:num>
  <w:num w:numId="51">
    <w:abstractNumId w:val="14"/>
  </w:num>
  <w:num w:numId="52">
    <w:abstractNumId w:val="15"/>
  </w:num>
  <w:num w:numId="53">
    <w:abstractNumId w:val="28"/>
  </w:num>
  <w:num w:numId="54">
    <w:abstractNumId w:val="22"/>
  </w:num>
  <w:num w:numId="55">
    <w:abstractNumId w:val="29"/>
  </w:num>
  <w:num w:numId="56">
    <w:abstractNumId w:val="47"/>
  </w:num>
  <w:num w:numId="57">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C52D3"/>
    <w:rsid w:val="5EBC5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left="640" w:firstLine="560"/>
    </w:pPr>
    <w:rPr>
      <w:rFonts w:ascii="Calibri" w:hAnsi="Calibri" w:eastAsia="仿宋_GB2312"/>
      <w:sz w:val="32"/>
    </w:rPr>
  </w:style>
  <w:style w:type="paragraph" w:styleId="3">
    <w:name w:val="Body Text Indent"/>
    <w:basedOn w:val="1"/>
    <w:qFormat/>
    <w:uiPriority w:val="0"/>
    <w:pPr>
      <w:ind w:left="420" w:leftChars="200"/>
    </w:pPr>
    <w:rPr>
      <w:rFonts w:ascii="Calibri" w:hAnsi="Calibri" w:eastAsia="宋体" w:cs="Times New Roman"/>
      <w:sz w:val="21"/>
    </w:rPr>
  </w:style>
  <w:style w:type="paragraph" w:styleId="4">
    <w:name w:val="Plain Text"/>
    <w:basedOn w:val="1"/>
    <w:qFormat/>
    <w:uiPriority w:val="0"/>
    <w:rPr>
      <w:rFonts w:ascii="宋体" w:hAnsi="Courier New" w:eastAsia="宋体" w:cs="Times New Roman"/>
      <w:sz w:val="21"/>
      <w:szCs w:val="21"/>
    </w:rPr>
  </w:style>
  <w:style w:type="paragraph" w:styleId="5">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9">
    <w:name w:val="Body text|1"/>
    <w:basedOn w:val="1"/>
    <w:qFormat/>
    <w:uiPriority w:val="0"/>
    <w:pPr>
      <w:spacing w:line="348" w:lineRule="auto"/>
    </w:pPr>
    <w:rPr>
      <w:rFonts w:ascii="宋体" w:hAnsi="宋体" w:eastAsia="宋体" w:cs="宋体"/>
      <w:sz w:val="19"/>
      <w:szCs w:val="19"/>
      <w:lang w:val="zh-TW" w:eastAsia="zh-TW" w:bidi="zh-TW"/>
    </w:rPr>
  </w:style>
  <w:style w:type="paragraph" w:customStyle="1" w:styleId="10">
    <w:name w:val="Other|1"/>
    <w:basedOn w:val="1"/>
    <w:qFormat/>
    <w:uiPriority w:val="0"/>
    <w:pPr>
      <w:spacing w:line="348" w:lineRule="auto"/>
    </w:pPr>
    <w:rPr>
      <w:rFonts w:ascii="宋体" w:hAnsi="宋体" w:eastAsia="宋体" w:cs="宋体"/>
      <w:sz w:val="19"/>
      <w:szCs w:val="19"/>
      <w:lang w:val="zh-TW" w:eastAsia="zh-TW" w:bidi="zh-TW"/>
    </w:rPr>
  </w:style>
  <w:style w:type="paragraph" w:customStyle="1" w:styleId="11">
    <w:name w:val="Body text|3"/>
    <w:basedOn w:val="1"/>
    <w:qFormat/>
    <w:uiPriority w:val="0"/>
    <w:pPr>
      <w:ind w:firstLine="400"/>
    </w:pPr>
    <w:rPr>
      <w:rFonts w:ascii="宋体" w:hAnsi="宋体" w:eastAsia="宋体" w:cs="宋体"/>
      <w:sz w:val="17"/>
      <w:szCs w:val="17"/>
      <w:lang w:val="zh-TW" w:eastAsia="zh-TW" w:bidi="zh-TW"/>
    </w:rPr>
  </w:style>
  <w:style w:type="paragraph" w:customStyle="1" w:styleId="12">
    <w:name w:val="Picture caption|1"/>
    <w:basedOn w:val="1"/>
    <w:qFormat/>
    <w:uiPriority w:val="0"/>
    <w:rPr>
      <w:rFonts w:ascii="宋体" w:hAnsi="宋体" w:eastAsia="宋体" w:cs="宋体"/>
      <w:sz w:val="17"/>
      <w:szCs w:val="17"/>
      <w:lang w:val="zh-TW" w:eastAsia="zh-TW" w:bidi="zh-TW"/>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Header or footer|1"/>
    <w:basedOn w:val="1"/>
    <w:qFormat/>
    <w:uiPriority w:val="0"/>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11.xml"/><Relationship Id="rId4" Type="http://schemas.openxmlformats.org/officeDocument/2006/relationships/header" Target="header2.xml"/><Relationship Id="rId39" Type="http://schemas.openxmlformats.org/officeDocument/2006/relationships/header" Target="header27.xml"/><Relationship Id="rId38" Type="http://schemas.openxmlformats.org/officeDocument/2006/relationships/header" Target="header26.xml"/><Relationship Id="rId37" Type="http://schemas.openxmlformats.org/officeDocument/2006/relationships/header" Target="header25.xml"/><Relationship Id="rId36" Type="http://schemas.openxmlformats.org/officeDocument/2006/relationships/footer" Target="footer10.xml"/><Relationship Id="rId35" Type="http://schemas.openxmlformats.org/officeDocument/2006/relationships/footer" Target="footer9.xml"/><Relationship Id="rId34" Type="http://schemas.openxmlformats.org/officeDocument/2006/relationships/header" Target="header24.xml"/><Relationship Id="rId33" Type="http://schemas.openxmlformats.org/officeDocument/2006/relationships/header" Target="header23.xml"/><Relationship Id="rId32" Type="http://schemas.openxmlformats.org/officeDocument/2006/relationships/header" Target="header22.xml"/><Relationship Id="rId31" Type="http://schemas.openxmlformats.org/officeDocument/2006/relationships/footer" Target="footer8.xml"/><Relationship Id="rId30" Type="http://schemas.openxmlformats.org/officeDocument/2006/relationships/header" Target="header21.xml"/><Relationship Id="rId3" Type="http://schemas.openxmlformats.org/officeDocument/2006/relationships/header" Target="header1.xml"/><Relationship Id="rId29" Type="http://schemas.openxmlformats.org/officeDocument/2006/relationships/header" Target="header20.xml"/><Relationship Id="rId28" Type="http://schemas.openxmlformats.org/officeDocument/2006/relationships/header" Target="header19.xml"/><Relationship Id="rId27" Type="http://schemas.openxmlformats.org/officeDocument/2006/relationships/footer" Target="footer7.xml"/><Relationship Id="rId26" Type="http://schemas.openxmlformats.org/officeDocument/2006/relationships/footer" Target="footer6.xml"/><Relationship Id="rId25" Type="http://schemas.openxmlformats.org/officeDocument/2006/relationships/header" Target="header18.xml"/><Relationship Id="rId24" Type="http://schemas.openxmlformats.org/officeDocument/2006/relationships/header" Target="header17.xml"/><Relationship Id="rId23" Type="http://schemas.openxmlformats.org/officeDocument/2006/relationships/header" Target="header16.xml"/><Relationship Id="rId22" Type="http://schemas.openxmlformats.org/officeDocument/2006/relationships/header" Target="header15.xml"/><Relationship Id="rId21" Type="http://schemas.openxmlformats.org/officeDocument/2006/relationships/header" Target="header14.xml"/><Relationship Id="rId20" Type="http://schemas.openxmlformats.org/officeDocument/2006/relationships/header" Target="header13.xml"/><Relationship Id="rId2" Type="http://schemas.openxmlformats.org/officeDocument/2006/relationships/settings" Target="settings.xml"/><Relationship Id="rId19" Type="http://schemas.openxmlformats.org/officeDocument/2006/relationships/header" Target="header12.xml"/><Relationship Id="rId18" Type="http://schemas.openxmlformats.org/officeDocument/2006/relationships/header" Target="header11.xml"/><Relationship Id="rId17" Type="http://schemas.openxmlformats.org/officeDocument/2006/relationships/header" Target="header10.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2022-03-28T08:08:00Z</dcterms:created>
  <dc:creator>admin</dc:creator>
  <cp:lastModifiedBy>admin</cp:lastModifiedBy>
  <dcterms:modified xsi:type="dcterms:W3CDTF">2022-03-28T08:21:21Z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